
<file path=[Content_Types].xml><?xml version="1.0" encoding="utf-8"?>
<Types xmlns="http://schemas.openxmlformats.org/package/2006/content-types">
  <Default Extension="xml" ContentType="application/xml"/>
  <Default Extension="png" ContentType="image/png"/>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45"/>
      </w:tblGrid>
      <w:tr w14:paraId="3DF8A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22B8378B">
            <w:pPr>
              <w:pStyle w:val="18"/>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10378BBE">
            <w:pPr>
              <w:pStyle w:val="18"/>
              <w:framePr w:wrap="notBeside" w:vAnchor="page" w:hAnchor="page" w:x="1372" w:y="568"/>
              <w:tabs>
                <w:tab w:val="clear" w:pos="4153"/>
                <w:tab w:val="clear" w:pos="8306"/>
              </w:tabs>
              <w:spacing w:line="240" w:lineRule="auto"/>
              <w:ind w:left="3"/>
              <w:jc w:val="both"/>
              <w:rPr>
                <w:rFonts w:hint="eastAsia"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97.040.60</w:t>
            </w:r>
            <w:r>
              <w:rPr>
                <w:rFonts w:ascii="黑体" w:hAnsi="黑体" w:eastAsia="黑体"/>
                <w:sz w:val="21"/>
                <w:szCs w:val="21"/>
              </w:rPr>
              <w:fldChar w:fldCharType="end"/>
            </w:r>
            <w:bookmarkEnd w:id="0"/>
          </w:p>
        </w:tc>
      </w:tr>
      <w:tr w14:paraId="6E7AD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08119C97">
            <w:pPr>
              <w:pStyle w:val="18"/>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26B0FA30">
            <w:pPr>
              <w:pStyle w:val="18"/>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Y 73</w:t>
            </w:r>
            <w:r>
              <w:rPr>
                <w:rFonts w:ascii="黑体" w:hAnsi="黑体" w:eastAsia="黑体"/>
                <w:sz w:val="21"/>
                <w:szCs w:val="21"/>
              </w:rPr>
              <w:fldChar w:fldCharType="end"/>
            </w:r>
            <w:bookmarkEnd w:id="1"/>
          </w:p>
        </w:tc>
      </w:tr>
    </w:tbl>
    <w:p w14:paraId="79E9A593">
      <w:pPr>
        <w:pStyle w:val="50"/>
        <w:framePr w:w="9639" w:h="624" w:hRule="exact" w:hSpace="181" w:vSpace="181" w:wrap="around" w:hAnchor="page" w:x="1305" w:y="2269"/>
      </w:pPr>
      <w:bookmarkStart w:id="2" w:name="_Hlk26473981"/>
      <w:r>
        <w:rPr>
          <w:rFonts w:hint="eastAsia"/>
        </w:rPr>
        <w:t>中华人民共和国国家标准</w:t>
      </w:r>
    </w:p>
    <w:bookmarkEnd w:id="2"/>
    <w:p w14:paraId="1381F4B6">
      <w:pPr>
        <w:pStyle w:val="195"/>
        <w:framePr/>
      </w:pPr>
      <w:r>
        <w:fldChar w:fldCharType="begin">
          <w:ffData>
            <w:name w:val="文字1"/>
            <w:enabled/>
            <w:calcOnExit w:val="0"/>
            <w:textInput>
              <w:default w:val="GB/T"/>
            </w:textInput>
          </w:ffData>
        </w:fldChar>
      </w:r>
      <w:bookmarkStart w:id="3" w:name="文字1"/>
      <w:r>
        <w:instrText xml:space="preserve"> FORMTEXT </w:instrText>
      </w:r>
      <w:r>
        <w:fldChar w:fldCharType="separate"/>
      </w:r>
      <w:r>
        <w:t>GB/T</w:t>
      </w:r>
      <w:r>
        <w:fldChar w:fldCharType="end"/>
      </w:r>
      <w:bookmarkEnd w:id="3"/>
      <w:r>
        <w:t xml:space="preserve"> </w:t>
      </w:r>
      <w:r>
        <w:fldChar w:fldCharType="begin">
          <w:ffData>
            <w:name w:val="NSTD_CODE_F"/>
            <w:enabled/>
            <w:calcOnExit w:val="0"/>
            <w:textInput>
              <w:default w:val="XXXXX"/>
            </w:textInput>
          </w:ffData>
        </w:fldChar>
      </w:r>
      <w:bookmarkStart w:id="4" w:name="NSTD_CODE_F"/>
      <w:r>
        <w:instrText xml:space="preserve"> FORMTEXT </w:instrText>
      </w:r>
      <w:r>
        <w:fldChar w:fldCharType="separate"/>
      </w:r>
      <w:r>
        <w:t>XXXXX</w:t>
      </w:r>
      <w:r>
        <w:fldChar w:fldCharType="end"/>
      </w:r>
      <w:bookmarkEnd w:id="4"/>
      <w:r>
        <w:rPr>
          <w:rFonts w:hAnsi="黑体"/>
        </w:rPr>
        <w:t>—</w:t>
      </w:r>
      <w:r>
        <w:fldChar w:fldCharType="begin">
          <w:ffData>
            <w:name w:val="NSTD_CODE_B"/>
            <w:enabled/>
            <w:calcOnExit w:val="0"/>
            <w:textInput>
              <w:default w:val="XXXX"/>
            </w:textInput>
          </w:ffData>
        </w:fldChar>
      </w:r>
      <w:bookmarkStart w:id="5" w:name="NSTD_CODE_B"/>
      <w:r>
        <w:instrText xml:space="preserve"> FORMTEXT </w:instrText>
      </w:r>
      <w:r>
        <w:fldChar w:fldCharType="separate"/>
      </w:r>
      <w:r>
        <w:t>XXXX</w:t>
      </w:r>
    </w:p>
    <w:p w14:paraId="7B95AAC7">
      <w:pPr>
        <w:pStyle w:val="195"/>
        <w:framePr/>
      </w:pPr>
      <w:r>
        <w:rPr>
          <w:rFonts w:hint="eastAsia"/>
        </w:rPr>
        <w:t>ISO 8442-3 1997</w:t>
      </w:r>
      <w:r>
        <w:fldChar w:fldCharType="end"/>
      </w:r>
      <w:bookmarkEnd w:id="5"/>
    </w:p>
    <w:p w14:paraId="37C58B21">
      <w:pPr>
        <w:pStyle w:val="196"/>
        <w:framePr/>
        <w:rPr>
          <w:rFonts w:hint="eastAsia" w:hAnsi="黑体"/>
        </w:rPr>
      </w:pPr>
      <w:r>
        <w:rPr>
          <w:rFonts w:hAnsi="黑体"/>
        </w:rPr>
        <w:fldChar w:fldCharType="begin">
          <w:ffData>
            <w:name w:val="OSTD_CODE"/>
            <w:enabled/>
            <w:calcOnExit w:val="0"/>
            <w:textInput/>
          </w:ffData>
        </w:fldChar>
      </w:r>
      <w:bookmarkStart w:id="6"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6"/>
    </w:p>
    <w:p w14:paraId="30774E20">
      <w:pPr>
        <w:spacing w:line="240" w:lineRule="auto"/>
        <w:ind w:left="8080"/>
        <w:rPr>
          <w:rFonts w:hint="eastAsia" w:ascii="黑体" w:hAnsi="黑体" w:eastAsia="黑体"/>
          <w:kern w:val="0"/>
          <w:sz w:val="52"/>
          <w:szCs w:val="20"/>
        </w:rPr>
      </w:pPr>
      <w:r>
        <w:rPr>
          <w:rFonts w:ascii="黑体" w:hAnsi="黑体" w:eastAsia="黑体"/>
          <w:kern w:val="0"/>
          <w:sz w:val="52"/>
          <w:szCs w:val="2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60288;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r>
        <w:rPr>
          <w:rFonts w:ascii="黑体" w:hAnsi="黑体" w:eastAsia="黑体"/>
          <w:kern w:val="0"/>
          <w:sz w:val="52"/>
          <w:szCs w:val="20"/>
        </w:rPr>
        <w:drawing>
          <wp:anchor distT="0" distB="0" distL="114300" distR="114300" simplePos="0" relativeHeight="251659264" behindDoc="0" locked="0" layoutInCell="1" allowOverlap="0">
            <wp:simplePos x="0" y="0"/>
            <wp:positionH relativeFrom="page">
              <wp:posOffset>5166360</wp:posOffset>
            </wp:positionH>
            <wp:positionV relativeFrom="page">
              <wp:posOffset>466725</wp:posOffset>
            </wp:positionV>
            <wp:extent cx="1447165" cy="734695"/>
            <wp:effectExtent l="0" t="0" r="635" b="889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447200" cy="734400"/>
                    </a:xfrm>
                    <a:prstGeom prst="rect">
                      <a:avLst/>
                    </a:prstGeom>
                    <a:noFill/>
                    <a:ln>
                      <a:noFill/>
                    </a:ln>
                  </pic:spPr>
                </pic:pic>
              </a:graphicData>
            </a:graphic>
          </wp:anchor>
        </w:drawing>
      </w:r>
    </w:p>
    <w:p w14:paraId="6BFCF2FF">
      <w:pPr>
        <w:pStyle w:val="50"/>
        <w:framePr w:w="9639" w:h="6976" w:hRule="exact" w:hSpace="0" w:vSpace="0" w:wrap="around" w:hAnchor="page" w:y="6408"/>
        <w:jc w:val="center"/>
        <w:rPr>
          <w:rFonts w:hint="eastAsia" w:ascii="黑体" w:hAnsi="黑体" w:eastAsia="黑体"/>
          <w:b w:val="0"/>
          <w:bCs w:val="0"/>
          <w:w w:val="100"/>
        </w:rPr>
      </w:pPr>
    </w:p>
    <w:p w14:paraId="62030484">
      <w:pPr>
        <w:pStyle w:val="197"/>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rPr>
          <w:rFonts w:hint="eastAsia"/>
        </w:rPr>
        <w:t>餐具和餐桌用凹形器皿</w:t>
      </w:r>
    </w:p>
    <w:p w14:paraId="28D11ABD">
      <w:pPr>
        <w:pStyle w:val="197"/>
        <w:framePr w:h="6974" w:hRule="exact" w:wrap="around" w:x="1419" w:anchorLock="1"/>
        <w:rPr>
          <w:rFonts w:hint="eastAsia"/>
        </w:rPr>
      </w:pPr>
      <w:r>
        <w:rPr>
          <w:rFonts w:hint="eastAsia"/>
        </w:rPr>
        <w:t>第3部分：镀银餐用和装饰用器皿技术要求</w:t>
      </w:r>
      <w:r>
        <w:fldChar w:fldCharType="end"/>
      </w:r>
      <w:bookmarkEnd w:id="7"/>
    </w:p>
    <w:p w14:paraId="78FB95E1">
      <w:pPr>
        <w:framePr w:w="9639" w:h="6974" w:hRule="exact" w:wrap="around" w:vAnchor="page" w:hAnchor="page" w:x="1419" w:y="6408" w:anchorLock="1"/>
        <w:ind w:left="-1418"/>
      </w:pPr>
    </w:p>
    <w:p w14:paraId="66B1D50B">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8" w:name="ESTD_NAME"/>
      <w:r>
        <w:rPr>
          <w:rFonts w:eastAsia="黑体"/>
          <w:szCs w:val="28"/>
        </w:rPr>
        <w:instrText xml:space="preserve"> FORMTEXT </w:instrText>
      </w:r>
      <w:r>
        <w:rPr>
          <w:rFonts w:eastAsia="黑体"/>
          <w:szCs w:val="28"/>
        </w:rPr>
        <w:fldChar w:fldCharType="separate"/>
      </w:r>
      <w:r>
        <w:rPr>
          <w:rFonts w:hint="eastAsia" w:eastAsia="黑体"/>
          <w:szCs w:val="28"/>
        </w:rPr>
        <w:t>Materials and articles in contact with foodstuffs-Cutlery and table holloware-</w:t>
      </w:r>
    </w:p>
    <w:p w14:paraId="4F46EE06">
      <w:pPr>
        <w:pStyle w:val="125"/>
        <w:framePr w:w="9639" w:h="6974" w:hRule="exact" w:wrap="around" w:vAnchor="page" w:hAnchor="page" w:x="1419" w:y="6408" w:anchorLock="1"/>
        <w:textAlignment w:val="bottom"/>
        <w:rPr>
          <w:rFonts w:eastAsia="黑体"/>
          <w:szCs w:val="28"/>
        </w:rPr>
      </w:pPr>
      <w:r>
        <w:rPr>
          <w:rFonts w:hint="eastAsia" w:eastAsia="黑体"/>
          <w:szCs w:val="28"/>
        </w:rPr>
        <w:t>Part 3:Requirements for silver-plated table anddecorative holloware</w:t>
      </w:r>
      <w:r>
        <w:rPr>
          <w:rFonts w:eastAsia="黑体"/>
          <w:szCs w:val="28"/>
        </w:rPr>
        <w:fldChar w:fldCharType="end"/>
      </w:r>
      <w:bookmarkEnd w:id="8"/>
    </w:p>
    <w:p w14:paraId="6F262CA6">
      <w:pPr>
        <w:framePr w:w="9639" w:h="6974" w:hRule="exact" w:wrap="around" w:vAnchor="page" w:hAnchor="page" w:x="1419" w:y="6408" w:anchorLock="1"/>
        <w:spacing w:line="760" w:lineRule="exact"/>
        <w:ind w:left="-1418"/>
      </w:pPr>
    </w:p>
    <w:p w14:paraId="268BDFA8">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IN_STD_CODE"/>
            <w:enabled/>
            <w:calcOnExit w:val="0"/>
            <w:textInput>
              <w:default w:val="(点击此处添加与国际标准一致性程度的标识)"/>
            </w:textInput>
          </w:ffData>
        </w:fldChar>
      </w:r>
      <w:bookmarkStart w:id="9" w:name="IN_STD_CODE"/>
      <w:r>
        <w:rPr>
          <w:rFonts w:eastAsia="黑体"/>
          <w:szCs w:val="28"/>
        </w:rPr>
        <w:instrText xml:space="preserve"> FORMTEXT </w:instrText>
      </w:r>
      <w:r>
        <w:rPr>
          <w:rFonts w:eastAsia="黑体"/>
          <w:szCs w:val="28"/>
        </w:rPr>
        <w:fldChar w:fldCharType="separate"/>
      </w:r>
      <w:r>
        <w:rPr>
          <w:rFonts w:hint="eastAsia" w:eastAsia="黑体"/>
          <w:szCs w:val="28"/>
        </w:rPr>
        <w:t>( ISO 8442-3:1997，IDT)</w:t>
      </w:r>
      <w:r>
        <w:rPr>
          <w:rFonts w:eastAsia="黑体"/>
          <w:szCs w:val="28"/>
        </w:rPr>
        <w:fldChar w:fldCharType="end"/>
      </w:r>
      <w:bookmarkEnd w:id="9"/>
    </w:p>
    <w:p w14:paraId="5F0FF38A">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0" w:name="下拉1"/>
      <w:r>
        <w:rPr>
          <w:sz w:val="24"/>
          <w:szCs w:val="28"/>
        </w:rPr>
        <w:instrText xml:space="preserve"> FORMDROPDOWN </w:instrText>
      </w:r>
      <w:r>
        <w:rPr>
          <w:sz w:val="24"/>
          <w:szCs w:val="28"/>
        </w:rPr>
        <w:fldChar w:fldCharType="separate"/>
      </w:r>
      <w:r>
        <w:rPr>
          <w:sz w:val="24"/>
          <w:szCs w:val="28"/>
        </w:rPr>
        <w:fldChar w:fldCharType="end"/>
      </w:r>
      <w:bookmarkEnd w:id="10"/>
    </w:p>
    <w:p w14:paraId="01FEE83A">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1" w:name="CMPLSH_DATE"/>
      <w:r>
        <w:rPr>
          <w:sz w:val="21"/>
          <w:szCs w:val="28"/>
        </w:rPr>
        <w:instrText xml:space="preserve"> FORMTEXT </w:instrText>
      </w:r>
      <w:r>
        <w:rPr>
          <w:sz w:val="21"/>
          <w:szCs w:val="28"/>
        </w:rPr>
        <w:fldChar w:fldCharType="separate"/>
      </w:r>
      <w:r>
        <w:rPr>
          <w:rFonts w:hint="eastAsia"/>
          <w:sz w:val="21"/>
          <w:szCs w:val="28"/>
        </w:rPr>
        <w:t xml:space="preserve"> </w:t>
      </w:r>
      <w:r>
        <w:rPr>
          <w:sz w:val="21"/>
          <w:szCs w:val="28"/>
        </w:rPr>
        <w:fldChar w:fldCharType="end"/>
      </w:r>
      <w:bookmarkEnd w:id="11"/>
    </w:p>
    <w:p w14:paraId="2B1FAC8C">
      <w:pPr>
        <w:pStyle w:val="125"/>
        <w:framePr w:w="9639" w:h="6974" w:hRule="exact" w:wrap="around" w:vAnchor="page" w:hAnchor="page" w:x="1419" w:y="6408" w:anchorLock="1"/>
        <w:spacing w:before="720" w:beforeLines="300" w:after="72" w:afterLines="30" w:line="240" w:lineRule="auto"/>
        <w:textAlignment w:val="bottom"/>
        <w:rPr>
          <w:b/>
          <w:sz w:val="21"/>
          <w:szCs w:val="28"/>
        </w:rPr>
      </w:pPr>
      <w:bookmarkStart w:id="89" w:name="_GoBack"/>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2" w:name="下拉2"/>
      <w:r>
        <w:rPr>
          <w:b/>
          <w:sz w:val="21"/>
          <w:szCs w:val="28"/>
        </w:rPr>
        <w:instrText xml:space="preserve"> FORMDROPDOWN </w:instrText>
      </w:r>
      <w:r>
        <w:rPr>
          <w:b/>
          <w:sz w:val="21"/>
          <w:szCs w:val="28"/>
        </w:rPr>
        <w:fldChar w:fldCharType="separate"/>
      </w:r>
      <w:r>
        <w:rPr>
          <w:b/>
          <w:sz w:val="21"/>
          <w:szCs w:val="28"/>
        </w:rPr>
        <w:fldChar w:fldCharType="end"/>
      </w:r>
      <w:bookmarkEnd w:id="12"/>
      <w:bookmarkEnd w:id="89"/>
    </w:p>
    <w:p w14:paraId="792B4888">
      <w:pPr>
        <w:pStyle w:val="193"/>
        <w:framePr w:wrap="around" w:y="14176"/>
      </w:pPr>
      <w:r>
        <w:rPr>
          <w:rFonts w:ascii="黑体"/>
        </w:rPr>
        <w:fldChar w:fldCharType="begin">
          <w:ffData>
            <w:name w:val="PLSH_DATE_Y"/>
            <w:enabled/>
            <w:calcOnExit w:val="0"/>
            <w:textInput>
              <w:default w:val="XXXX"/>
              <w:maxLength w:val="4"/>
            </w:textInput>
          </w:ffData>
        </w:fldChar>
      </w:r>
      <w:bookmarkStart w:id="13"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3"/>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4"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5"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rPr>
          <w:rFonts w:hint="eastAsia"/>
        </w:rPr>
        <w:t>发布</w:t>
      </w:r>
    </w:p>
    <w:p w14:paraId="0C8A79CD">
      <w:pPr>
        <w:pStyle w:val="194"/>
        <w:framePr w:wrap="around" w:y="14176"/>
      </w:pPr>
      <w:r>
        <w:rPr>
          <w:rFonts w:ascii="黑体"/>
        </w:rPr>
        <w:fldChar w:fldCharType="begin">
          <w:ffData>
            <w:name w:val="CROT_DATE_Y"/>
            <w:enabled/>
            <w:calcOnExit w:val="0"/>
            <w:textInput>
              <w:default w:val="XXXX"/>
              <w:maxLength w:val="4"/>
            </w:textInput>
          </w:ffData>
        </w:fldChar>
      </w:r>
      <w:bookmarkStart w:id="16"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6"/>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7"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8"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rPr>
          <w:rFonts w:hint="eastAsia"/>
        </w:rPr>
        <w:t>实施</w:t>
      </w:r>
    </w:p>
    <w:p w14:paraId="376F72A2">
      <w:pPr>
        <w:rPr>
          <w:rFonts w:hint="eastAsia"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567" w:right="1134" w:bottom="1134" w:left="1134" w:header="1418" w:footer="1134" w:gutter="284"/>
          <w:cols w:space="425" w:num="1"/>
          <w:titlePg/>
          <w:docGrid w:linePitch="312" w:charSpace="0"/>
        </w:sectPr>
      </w:pPr>
      <w:r>
        <w:rPr>
          <w:rFonts w:hint="eastAsia" w:ascii="宋体" w:hAnsi="宋体"/>
          <w:sz w:val="28"/>
          <w:szCs w:val="28"/>
        </w:rPr>
        <w:drawing>
          <wp:anchor distT="0" distB="0" distL="114300" distR="114300" simplePos="0" relativeHeight="251662336" behindDoc="0" locked="0" layoutInCell="1" allowOverlap="1">
            <wp:simplePos x="0" y="0"/>
            <wp:positionH relativeFrom="column">
              <wp:posOffset>1610360</wp:posOffset>
            </wp:positionH>
            <wp:positionV relativeFrom="paragraph">
              <wp:posOffset>8245475</wp:posOffset>
            </wp:positionV>
            <wp:extent cx="2869565" cy="546100"/>
            <wp:effectExtent l="0" t="0" r="0" b="6985"/>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69324" cy="545919"/>
                    </a:xfrm>
                    <a:prstGeom prst="rect">
                      <a:avLst/>
                    </a:prstGeom>
                  </pic:spPr>
                </pic:pic>
              </a:graphicData>
            </a:graphic>
          </wp:anchor>
        </w:drawing>
      </w:r>
      <w:r>
        <w:rPr>
          <w:rFonts w:hint="eastAsia" w:ascii="宋体" w:hAnsi="宋体"/>
          <w:sz w:val="28"/>
          <w:szCs w:val="28"/>
        </w:rPr>
        <mc:AlternateContent>
          <mc:Choice Requires="wps">
            <w:drawing>
              <wp:anchor distT="0" distB="0" distL="114300" distR="114300" simplePos="0" relativeHeight="251661312"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1312;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r>
        <w:rPr>
          <w:rFonts w:hint="eastAsia" w:ascii="宋体" w:hAnsi="宋体"/>
          <w:sz w:val="28"/>
          <w:szCs w:val="28"/>
        </w:rPr>
        <w:t xml:space="preserve">`                                                                                                                                                                                                                                                                                                                                                                                                                                                                                                                                                                                                                                                                                                                                                                                                                                                                                                                                                                                                                                                                                                                                                                                                                                                                                                                                                                                                                                                                                                                                                                                                                                                                                                                                                                                                                                                                                                                                                                                                                                                                                                                                                                                                                                                                                                                                                                                                                                                                                                                                                                                                                                                                                                                                                                                                                                                                                                                                                                                                                                                                                                                                                                                                                                                                                                                                                                                                                                                                                                                                                                                                                                                                                                                                                                                                                                                                                                                                                                                                                                                                                                                                                                                                               </w:t>
      </w:r>
      <w:r>
        <w:rPr>
          <w:rFonts w:hint="eastAsia" w:ascii="宋体" w:hAnsi="宋体"/>
          <w:sz w:val="28"/>
          <w:szCs w:val="28"/>
        </w:rPr>
        <w:t xml:space="preserve">                                                                                                                                                                                                                                                                                                                                                                                                                                                                                                                                                                                                                                                                                                                                                                                                                                                                                                                                                                                                                                                                                                                                                                                                                                                                                                                                                                                                                                                                                                                                                                                                                                                                                                                                                                                                                                                                                                                                                                                                                                                                                                                                                                                                                                                                                                                                                                                                                                                                                                                                                                                                                                                                                                                                                                                                                                                                                                                                                                                                                                                                                                                                                                                                                                                                                                                                                                                                                                                                                                                                                                                                                                                                                                                                                                                                                                                                                                                                                                                                                                                                                                                                                                                                                </w:t>
      </w:r>
      <w:r>
        <w:rPr>
          <w:rFonts w:hint="eastAsia" w:ascii="宋体" w:hAnsi="宋体"/>
          <w:sz w:val="28"/>
          <w:szCs w:val="28"/>
        </w:rPr>
        <w:t xml:space="preserve">                                                                                                                                                                                                                                                                                                                                                                                                                                                                                                                                                                                                                                                                                                                                                                                                                                                                                                                                                                                                                                                                                                                                                                                                                                                                                                                                                                                                                                                                                                                                                                                                                                                                                                                                                                                                                                                                                                                                                                                                                                                                                                                                                                                                                                                                                                                                                                                                                                                                                                                                                                                                                                                                                                                                                                                                                                                                                                                                                                                                                                                                                                                                                                                                                                                                                                                                                                                                                                                                                                                                                                                                                                                                                                                                                                                                                                                                                                                                                                                                                                                                                                                                                                                                                </w:t>
      </w:r>
      <w:r>
        <w:rPr>
          <w:rFonts w:hint="eastAsia" w:ascii="宋体" w:hAnsi="宋体"/>
          <w:sz w:val="28"/>
          <w:szCs w:val="28"/>
        </w:rPr>
        <w:t xml:space="preserve">                                                                                                                                                                                                                                                                                                                                                                                                                                                                                                                                                                                                                                                                                                                                                                                                                                                                                                                                                                                                                                                                                                                                                                                                                                                                                                                                                                                                                                                                                                                                                                                                                                                                                                                                                                                                                                                                                                                                                                                                                                                                                                                                                                                                                                                                                                                                                                                                                                                                                                                                                                                                                                                                                                                                                                                                                                                                                                                                                                                                                                                                                                                                                                                                                                                                                                                                                                                                                                                                                                                                                                                                                                                                                                                                                                                                                                                                                                                                                                                                                                            </w:t>
      </w:r>
    </w:p>
    <w:p w14:paraId="498D7D6E">
      <w:pPr>
        <w:pStyle w:val="89"/>
        <w:spacing w:after="360"/>
      </w:pPr>
      <w:bookmarkStart w:id="19" w:name="BookMark2"/>
      <w:r>
        <w:rPr>
          <w:spacing w:val="320"/>
        </w:rPr>
        <w:t>前</w:t>
      </w:r>
      <w:r>
        <w:t>言</w:t>
      </w:r>
    </w:p>
    <w:p w14:paraId="5411B0DD">
      <w:pPr>
        <w:pStyle w:val="231"/>
        <w:ind w:firstLineChars="200"/>
        <w:rPr>
          <w:rFonts w:hint="eastAsia"/>
        </w:rPr>
      </w:pPr>
      <w:r>
        <w:rPr>
          <w:rFonts w:hint="eastAsia"/>
        </w:rPr>
        <w:t>本文件按照GB/T 1.1-2020《标准化工作导则 第1部分：标准化文件的结构和起草规则》的规定起草。本文件规定了质量相关技术要求，食品安全相关要求见有关法律法规、政策和食品安全标准等文件。</w:t>
      </w:r>
    </w:p>
    <w:p w14:paraId="45BAE833">
      <w:pPr>
        <w:pStyle w:val="56"/>
        <w:spacing w:line="360" w:lineRule="auto"/>
        <w:ind w:firstLine="420"/>
      </w:pPr>
      <w:r>
        <w:rPr>
          <w:rFonts w:hint="eastAsia"/>
        </w:rPr>
        <w:t>本文件等同采用ISO 8442-3：1997《接触食物的制品及材料-餐具和餐桌用凹形器皿 第3部分：镀银餐用和装饰用器皿技术要求》。</w:t>
      </w:r>
    </w:p>
    <w:p w14:paraId="2E6AC52B">
      <w:pPr>
        <w:pStyle w:val="56"/>
        <w:spacing w:line="360" w:lineRule="auto"/>
        <w:ind w:firstLine="420"/>
      </w:pPr>
      <w:r>
        <w:rPr>
          <w:rFonts w:hint="eastAsia"/>
        </w:rPr>
        <w:t>本文件做了下列最小限度的编辑性改动：</w:t>
      </w:r>
    </w:p>
    <w:p w14:paraId="511AD7E4">
      <w:pPr>
        <w:pStyle w:val="56"/>
        <w:spacing w:line="360" w:lineRule="auto"/>
        <w:ind w:firstLine="420"/>
      </w:pPr>
      <w:r>
        <w:rPr>
          <w:rFonts w:hint="eastAsia"/>
        </w:rPr>
        <w:t>——删除了国际标准的前言和引言;</w:t>
      </w:r>
    </w:p>
    <w:p w14:paraId="0DD9146E">
      <w:pPr>
        <w:pStyle w:val="56"/>
        <w:spacing w:line="360" w:lineRule="auto"/>
        <w:ind w:firstLine="420"/>
      </w:pPr>
      <w:r>
        <w:rPr>
          <w:rFonts w:hint="eastAsia"/>
        </w:rPr>
        <w:t>——修改了规范性引用的国际标准，以等同采用的国家标准代替。</w:t>
      </w:r>
    </w:p>
    <w:p w14:paraId="5BF18831">
      <w:pPr>
        <w:pStyle w:val="56"/>
        <w:spacing w:line="360" w:lineRule="auto"/>
        <w:ind w:firstLine="420"/>
      </w:pPr>
      <w:r>
        <w:rPr>
          <w:rFonts w:hint="eastAsia"/>
        </w:rPr>
        <w:t>请注意本文件的某些内容可能涉及专利，本文件的发布机构不承担识别这些专利的责任。</w:t>
      </w:r>
    </w:p>
    <w:p w14:paraId="5C029D89">
      <w:pPr>
        <w:pStyle w:val="232"/>
        <w:ind w:firstLine="420" w:firstLineChars="200"/>
      </w:pPr>
      <w:bookmarkStart w:id="20" w:name="_Hlk225771642"/>
      <w:r>
        <w:rPr>
          <w:rFonts w:ascii="宋体" w:hAnsi="宋体"/>
        </w:rPr>
        <w:t>ISO 8442由以下部分组成，总标题为</w:t>
      </w:r>
      <w:r>
        <w:rPr>
          <w:rFonts w:hint="eastAsia" w:ascii="宋体" w:hAnsi="宋体"/>
        </w:rPr>
        <w:t>接触食物的制品及材料-</w:t>
      </w:r>
      <w:r>
        <w:rPr>
          <w:rFonts w:ascii="宋体" w:hAnsi="宋体"/>
        </w:rPr>
        <w:t>餐具和</w:t>
      </w:r>
      <w:r>
        <w:rPr>
          <w:rFonts w:hint="eastAsia" w:ascii="宋体" w:hAnsi="宋体"/>
        </w:rPr>
        <w:t>餐桌用凹形器皿</w:t>
      </w:r>
    </w:p>
    <w:p w14:paraId="6B627386">
      <w:pPr>
        <w:pStyle w:val="56"/>
        <w:spacing w:line="360" w:lineRule="auto"/>
        <w:ind w:firstLine="420"/>
      </w:pPr>
      <w:r>
        <w:rPr>
          <w:rFonts w:hint="eastAsia"/>
        </w:rPr>
        <w:t>ISO 8442包括以下部分：</w:t>
      </w:r>
    </w:p>
    <w:p w14:paraId="3AF6C4F4">
      <w:pPr>
        <w:pStyle w:val="56"/>
        <w:spacing w:line="360" w:lineRule="auto"/>
        <w:ind w:firstLine="420"/>
      </w:pPr>
      <w:r>
        <w:rPr>
          <w:rFonts w:hint="eastAsia"/>
        </w:rPr>
        <w:t>—第1部分：食品制备用刀具技术要求</w:t>
      </w:r>
    </w:p>
    <w:p w14:paraId="27EEA66D">
      <w:pPr>
        <w:pStyle w:val="56"/>
        <w:spacing w:line="360" w:lineRule="auto"/>
        <w:ind w:firstLine="420"/>
      </w:pPr>
      <w:r>
        <w:rPr>
          <w:rFonts w:hint="eastAsia"/>
        </w:rPr>
        <w:t>—第2部分：不锈钢和镀银餐具技术要求</w:t>
      </w:r>
    </w:p>
    <w:p w14:paraId="097358A7">
      <w:pPr>
        <w:pStyle w:val="56"/>
        <w:spacing w:line="360" w:lineRule="auto"/>
        <w:ind w:firstLine="420"/>
      </w:pPr>
      <w:r>
        <w:rPr>
          <w:rFonts w:hint="eastAsia"/>
        </w:rPr>
        <w:t>—第3部门：镀银餐用和装饰用器皿技术要求</w:t>
      </w:r>
    </w:p>
    <w:p w14:paraId="291CA2DC">
      <w:pPr>
        <w:pStyle w:val="56"/>
        <w:spacing w:line="360" w:lineRule="auto"/>
        <w:ind w:firstLine="420"/>
      </w:pPr>
      <w:r>
        <w:rPr>
          <w:rFonts w:hint="eastAsia"/>
        </w:rPr>
        <w:t>—第4部分：镀金餐具技术要求</w:t>
      </w:r>
    </w:p>
    <w:p w14:paraId="4AA0A17F">
      <w:pPr>
        <w:pStyle w:val="56"/>
        <w:spacing w:line="360" w:lineRule="auto"/>
        <w:ind w:firstLine="420"/>
      </w:pPr>
      <w:r>
        <w:rPr>
          <w:rFonts w:hint="eastAsia"/>
        </w:rPr>
        <w:t>—第5部分：刀具锋利度和耐用度测试方法</w:t>
      </w:r>
    </w:p>
    <w:p w14:paraId="0F605B3C">
      <w:pPr>
        <w:pStyle w:val="56"/>
        <w:spacing w:line="360" w:lineRule="auto"/>
        <w:ind w:firstLine="420"/>
      </w:pPr>
      <w:r>
        <w:rPr>
          <w:rFonts w:hint="eastAsia"/>
        </w:rPr>
        <w:t>—第6部分：漆保护轻微镀银餐桌用器皿</w:t>
      </w:r>
    </w:p>
    <w:p w14:paraId="7E98B4F4">
      <w:pPr>
        <w:pStyle w:val="56"/>
        <w:spacing w:line="360" w:lineRule="auto"/>
        <w:ind w:firstLine="420"/>
      </w:pPr>
      <w:r>
        <w:rPr>
          <w:rFonts w:hint="eastAsia"/>
        </w:rPr>
        <w:t>—第7部分：银、其他贵金属及其合金制成的餐桌餐具技术要求</w:t>
      </w:r>
    </w:p>
    <w:p w14:paraId="436302A1">
      <w:pPr>
        <w:pStyle w:val="56"/>
        <w:spacing w:line="360" w:lineRule="auto"/>
        <w:ind w:firstLine="420"/>
      </w:pPr>
      <w:r>
        <w:rPr>
          <w:rFonts w:hint="eastAsia"/>
        </w:rPr>
        <w:t>—第8部分：银制餐用及装饰用器皿技术要求</w:t>
      </w:r>
    </w:p>
    <w:p w14:paraId="4868BC6B">
      <w:pPr>
        <w:pStyle w:val="56"/>
        <w:spacing w:line="360" w:lineRule="auto"/>
        <w:ind w:firstLine="420"/>
      </w:pPr>
      <w:r>
        <w:rPr>
          <w:rFonts w:hint="eastAsia"/>
        </w:rPr>
        <w:t>—第9部分：陶瓷刀的技术要求</w:t>
      </w:r>
    </w:p>
    <w:p w14:paraId="75113E38">
      <w:pPr>
        <w:pStyle w:val="56"/>
        <w:spacing w:line="360" w:lineRule="auto"/>
        <w:ind w:firstLine="420"/>
      </w:pPr>
      <w:r>
        <w:rPr>
          <w:rFonts w:hint="eastAsia"/>
        </w:rPr>
        <w:t>附录C到附录K</w:t>
      </w:r>
      <w:bookmarkStart w:id="21" w:name="_Hlk224221987"/>
      <w:r>
        <w:rPr>
          <w:rFonts w:hint="eastAsia"/>
        </w:rPr>
        <w:t>作为ISO 8442的</w:t>
      </w:r>
      <w:bookmarkEnd w:id="21"/>
      <w:r>
        <w:rPr>
          <w:rFonts w:hint="eastAsia"/>
        </w:rPr>
        <w:t>规范性内容，附录A和B仅为资料性内容。</w:t>
      </w:r>
      <w:bookmarkEnd w:id="20"/>
    </w:p>
    <w:p w14:paraId="318CD305">
      <w:pPr>
        <w:pStyle w:val="56"/>
        <w:spacing w:line="360" w:lineRule="auto"/>
        <w:ind w:firstLine="420"/>
      </w:pPr>
      <w:r>
        <w:rPr>
          <w:rFonts w:hint="eastAsia"/>
        </w:rPr>
        <w:t xml:space="preserve">本文件由中国轻工业联合会提出。 </w:t>
      </w:r>
    </w:p>
    <w:p w14:paraId="02883738">
      <w:pPr>
        <w:pStyle w:val="56"/>
        <w:spacing w:line="360" w:lineRule="auto"/>
        <w:ind w:firstLine="420"/>
      </w:pPr>
      <w:r>
        <w:rPr>
          <w:rFonts w:hint="eastAsia"/>
        </w:rPr>
        <w:t>本文件由全国金属餐饮及烹饪器具标准化技术委员会（SAC/TC410）归口。</w:t>
      </w:r>
    </w:p>
    <w:p w14:paraId="066100EA">
      <w:pPr>
        <w:pStyle w:val="56"/>
        <w:spacing w:line="360" w:lineRule="auto"/>
        <w:ind w:firstLine="420"/>
      </w:pPr>
      <w:r>
        <w:t>本文件起草单位：中国日用五金技术开发中心、中国五金制品协会、中国</w:t>
      </w:r>
      <w:r>
        <w:rPr>
          <w:rFonts w:hint="eastAsia"/>
        </w:rPr>
        <w:t>质量</w:t>
      </w:r>
      <w:r>
        <w:t>认证中心有限公司、浙江炊大王炊具有限公司、爱仕达股份有限公司</w:t>
      </w:r>
      <w:r>
        <w:rPr>
          <w:rFonts w:hint="eastAsia"/>
        </w:rPr>
        <w:t>、广东凌丰家居用品股份有限公司、</w:t>
      </w:r>
      <w:r>
        <w:t>广东省五金制品协会。</w:t>
      </w:r>
    </w:p>
    <w:p w14:paraId="594325D0">
      <w:pPr>
        <w:pStyle w:val="56"/>
        <w:spacing w:line="360" w:lineRule="auto"/>
        <w:ind w:firstLine="420"/>
        <w:rPr>
          <w:rFonts w:hint="eastAsia"/>
        </w:rPr>
      </w:pPr>
      <w:r>
        <w:t>本文件主要起草人：</w:t>
      </w:r>
      <w:r>
        <w:rPr>
          <w:rFonts w:hint="eastAsia"/>
        </w:rPr>
        <w:t>薛瑞刚、</w:t>
      </w:r>
      <w:r>
        <w:t>柳润峰、杨岩、崔雁燕、蒲万见、周求应、</w:t>
      </w:r>
      <w:r>
        <w:rPr>
          <w:rFonts w:hint="eastAsia"/>
        </w:rPr>
        <w:t>伍晓宇、</w:t>
      </w:r>
      <w:r>
        <w:t>徐德军。</w:t>
      </w:r>
    </w:p>
    <w:p w14:paraId="6CDD27A8">
      <w:pPr>
        <w:pStyle w:val="56"/>
        <w:spacing w:line="360" w:lineRule="auto"/>
        <w:ind w:firstLine="420"/>
      </w:pPr>
      <w:r>
        <w:rPr>
          <w:rFonts w:hint="eastAsia"/>
        </w:rPr>
        <w:t>本文件为首次发布。</w:t>
      </w:r>
    </w:p>
    <w:p w14:paraId="7B473EC1">
      <w:pPr>
        <w:pStyle w:val="232"/>
        <w:ind w:firstLine="420" w:firstLineChars="200"/>
        <w:rPr>
          <w:rFonts w:hint="eastAsia" w:ascii="宋体" w:hAnsi="宋体"/>
        </w:rPr>
      </w:pPr>
    </w:p>
    <w:p w14:paraId="773F7383">
      <w:pPr>
        <w:pStyle w:val="232"/>
        <w:ind w:firstLine="420" w:firstLineChars="200"/>
        <w:rPr>
          <w:rFonts w:hint="eastAsia" w:ascii="宋体" w:hAnsi="宋体"/>
        </w:rPr>
      </w:pPr>
    </w:p>
    <w:p w14:paraId="583F5D1A">
      <w:pPr>
        <w:pStyle w:val="232"/>
        <w:ind w:firstLine="420" w:firstLineChars="200"/>
        <w:rPr>
          <w:rFonts w:hint="eastAsia" w:ascii="宋体" w:hAnsi="宋体"/>
        </w:rPr>
      </w:pPr>
    </w:p>
    <w:p w14:paraId="11E399AC">
      <w:pPr>
        <w:pStyle w:val="232"/>
        <w:ind w:firstLine="420" w:firstLineChars="200"/>
        <w:rPr>
          <w:rFonts w:hint="eastAsia" w:ascii="宋体" w:hAnsi="宋体"/>
        </w:rPr>
      </w:pPr>
    </w:p>
    <w:p w14:paraId="685F69D2">
      <w:pPr>
        <w:pStyle w:val="232"/>
        <w:ind w:firstLine="420" w:firstLineChars="200"/>
        <w:rPr>
          <w:rFonts w:hint="eastAsia" w:ascii="宋体" w:hAnsi="宋体"/>
        </w:rPr>
        <w:sectPr>
          <w:headerReference r:id="rId11" w:type="default"/>
          <w:footerReference r:id="rId13" w:type="default"/>
          <w:headerReference r:id="rId12" w:type="even"/>
          <w:pgSz w:w="11906" w:h="16838"/>
          <w:pgMar w:top="567" w:right="1134" w:bottom="1134" w:left="1134" w:header="1418" w:footer="1134" w:gutter="284"/>
          <w:cols w:space="425" w:num="1"/>
          <w:formProt w:val="0"/>
          <w:docGrid w:linePitch="312" w:charSpace="0"/>
        </w:sectPr>
      </w:pPr>
    </w:p>
    <w:p w14:paraId="2F6B9C12">
      <w:pPr>
        <w:pStyle w:val="239"/>
      </w:pPr>
      <w:r>
        <w:rPr>
          <w:rFonts w:hint="eastAsia" w:hAnsi="黑体" w:cs="黑体"/>
        </w:rPr>
        <w:t>目</w:t>
      </w:r>
      <w:bookmarkStart w:id="22" w:name="BKML"/>
      <w:r>
        <w:rPr>
          <w:rFonts w:hint="eastAsia" w:hAnsi="黑体" w:cs="黑体"/>
        </w:rPr>
        <w:t>  次</w:t>
      </w:r>
      <w:bookmarkEnd w:id="22"/>
    </w:p>
    <w:p w14:paraId="4E4F1EE7">
      <w:pPr>
        <w:pStyle w:val="19"/>
        <w:tabs>
          <w:tab w:val="right" w:leader="dot" w:pos="9241"/>
        </w:tabs>
        <w:spacing w:before="78" w:after="78"/>
        <w:rPr>
          <w:rFonts w:ascii="Times New Roman"/>
          <w:szCs w:val="24"/>
        </w:rPr>
      </w:pPr>
      <w:r>
        <w:fldChar w:fldCharType="begin" w:fldLock="1"/>
      </w:r>
      <w:r>
        <w:instrText xml:space="preserve"> </w:instrText>
      </w:r>
      <w:r>
        <w:rPr>
          <w:rFonts w:hint="eastAsia"/>
        </w:rPr>
        <w:instrText xml:space="preserve">TOC \h \z \t"前言、引言标题,1,参考文献、索引标题,1,章标题,1,参考文献,1,附录标识,1" \* MERGEFORMAT</w:instrText>
      </w:r>
      <w:r>
        <w:instrText xml:space="preserve"> </w:instrText>
      </w:r>
      <w:r>
        <w:fldChar w:fldCharType="separate"/>
      </w:r>
      <w:r>
        <w:fldChar w:fldCharType="begin"/>
      </w:r>
      <w:r>
        <w:instrText xml:space="preserve"> HYPERLINK \l "_Toc298412030" </w:instrText>
      </w:r>
      <w:r>
        <w:fldChar w:fldCharType="separate"/>
      </w:r>
      <w:r>
        <w:rPr>
          <w:rStyle w:val="32"/>
          <w:rFonts w:hint="eastAsia"/>
        </w:rPr>
        <w:t>前言</w:t>
      </w:r>
      <w:r>
        <w:tab/>
      </w:r>
      <w:r>
        <w:fldChar w:fldCharType="end"/>
      </w:r>
      <w:r>
        <w:rPr>
          <w:rFonts w:hint="eastAsia" w:hAnsi="宋体" w:cs="宋体"/>
        </w:rPr>
        <w:t>Ⅰ</w:t>
      </w:r>
    </w:p>
    <w:p w14:paraId="4C615EE1">
      <w:pPr>
        <w:pStyle w:val="19"/>
        <w:tabs>
          <w:tab w:val="right" w:leader="dot" w:pos="9241"/>
        </w:tabs>
        <w:spacing w:before="78" w:after="78"/>
        <w:rPr>
          <w:rFonts w:ascii="Times New Roman"/>
          <w:szCs w:val="24"/>
        </w:rPr>
      </w:pPr>
      <w:r>
        <w:fldChar w:fldCharType="begin"/>
      </w:r>
      <w:r>
        <w:instrText xml:space="preserve"> HYPERLINK \l "_Toc298412031" </w:instrText>
      </w:r>
      <w:r>
        <w:fldChar w:fldCharType="separate"/>
      </w:r>
      <w:r>
        <w:rPr>
          <w:rStyle w:val="32"/>
        </w:rPr>
        <w:t>1</w:t>
      </w:r>
      <w:r>
        <w:rPr>
          <w:rStyle w:val="32"/>
          <w:rFonts w:hint="eastAsia"/>
        </w:rPr>
        <w:t>　范围</w:t>
      </w:r>
      <w:r>
        <w:tab/>
      </w:r>
      <w:r>
        <w:fldChar w:fldCharType="begin" w:fldLock="1"/>
      </w:r>
      <w:r>
        <w:instrText xml:space="preserve"> PAGEREF _Toc298412031 \h </w:instrText>
      </w:r>
      <w:r>
        <w:fldChar w:fldCharType="separate"/>
      </w:r>
      <w:r>
        <w:t>1</w:t>
      </w:r>
      <w:r>
        <w:fldChar w:fldCharType="end"/>
      </w:r>
      <w:r>
        <w:fldChar w:fldCharType="end"/>
      </w:r>
    </w:p>
    <w:p w14:paraId="4E81CB35">
      <w:pPr>
        <w:pStyle w:val="19"/>
        <w:tabs>
          <w:tab w:val="right" w:leader="dot" w:pos="9241"/>
        </w:tabs>
        <w:spacing w:before="78" w:after="78"/>
        <w:rPr>
          <w:rFonts w:ascii="Times New Roman"/>
          <w:szCs w:val="24"/>
        </w:rPr>
      </w:pPr>
      <w:r>
        <w:fldChar w:fldCharType="begin"/>
      </w:r>
      <w:r>
        <w:instrText xml:space="preserve"> HYPERLINK \l "_Toc298412032" </w:instrText>
      </w:r>
      <w:r>
        <w:fldChar w:fldCharType="separate"/>
      </w:r>
      <w:r>
        <w:rPr>
          <w:rStyle w:val="32"/>
        </w:rPr>
        <w:t>2</w:t>
      </w:r>
      <w:r>
        <w:rPr>
          <w:rStyle w:val="32"/>
          <w:rFonts w:hint="eastAsia"/>
        </w:rPr>
        <w:t>　规范性引用文件</w:t>
      </w:r>
      <w:r>
        <w:tab/>
      </w:r>
      <w:r>
        <w:rPr>
          <w:rFonts w:hint="eastAsia"/>
        </w:rPr>
        <w:t>1</w:t>
      </w:r>
      <w:r>
        <w:rPr>
          <w:rFonts w:hint="eastAsia"/>
        </w:rPr>
        <w:fldChar w:fldCharType="end"/>
      </w:r>
    </w:p>
    <w:p w14:paraId="645D988D">
      <w:pPr>
        <w:pStyle w:val="19"/>
        <w:tabs>
          <w:tab w:val="right" w:leader="dot" w:pos="9241"/>
        </w:tabs>
        <w:spacing w:before="78" w:after="78"/>
        <w:rPr>
          <w:rFonts w:ascii="Times New Roman"/>
          <w:szCs w:val="24"/>
        </w:rPr>
      </w:pPr>
      <w:r>
        <w:fldChar w:fldCharType="begin"/>
      </w:r>
      <w:r>
        <w:instrText xml:space="preserve"> HYPERLINK \l "_Toc298412033" </w:instrText>
      </w:r>
      <w:r>
        <w:fldChar w:fldCharType="separate"/>
      </w:r>
      <w:r>
        <w:rPr>
          <w:rStyle w:val="32"/>
        </w:rPr>
        <w:t>3</w:t>
      </w:r>
      <w:r>
        <w:rPr>
          <w:rStyle w:val="32"/>
          <w:rFonts w:hint="eastAsia"/>
        </w:rPr>
        <w:t>　术语和定义</w:t>
      </w:r>
      <w:r>
        <w:tab/>
      </w:r>
      <w:r>
        <w:rPr>
          <w:rFonts w:hint="eastAsia"/>
        </w:rPr>
        <w:t>2</w:t>
      </w:r>
      <w:r>
        <w:rPr>
          <w:rFonts w:hint="eastAsia"/>
        </w:rPr>
        <w:fldChar w:fldCharType="end"/>
      </w:r>
    </w:p>
    <w:p w14:paraId="75B2536E">
      <w:pPr>
        <w:pStyle w:val="19"/>
        <w:tabs>
          <w:tab w:val="right" w:leader="dot" w:pos="9241"/>
        </w:tabs>
        <w:spacing w:before="78" w:after="78"/>
        <w:rPr>
          <w:rFonts w:ascii="Times New Roman"/>
          <w:szCs w:val="24"/>
        </w:rPr>
      </w:pPr>
      <w:r>
        <w:fldChar w:fldCharType="begin"/>
      </w:r>
      <w:r>
        <w:instrText xml:space="preserve"> HYPERLINK \l "_Toc298412035" </w:instrText>
      </w:r>
      <w:r>
        <w:fldChar w:fldCharType="separate"/>
      </w:r>
      <w:r>
        <w:rPr>
          <w:rStyle w:val="32"/>
          <w:rFonts w:hint="eastAsia"/>
        </w:rPr>
        <w:t>4　材料</w:t>
      </w:r>
      <w:r>
        <w:tab/>
      </w:r>
      <w:r>
        <w:fldChar w:fldCharType="end"/>
      </w:r>
      <w:r>
        <w:rPr>
          <w:rFonts w:hint="eastAsia"/>
        </w:rPr>
        <w:t>2</w:t>
      </w:r>
    </w:p>
    <w:p w14:paraId="5537869D">
      <w:pPr>
        <w:pStyle w:val="19"/>
        <w:tabs>
          <w:tab w:val="right" w:leader="dot" w:pos="9241"/>
        </w:tabs>
        <w:spacing w:before="78" w:after="78"/>
      </w:pPr>
      <w:r>
        <w:fldChar w:fldCharType="begin"/>
      </w:r>
      <w:r>
        <w:instrText xml:space="preserve"> HYPERLINK \l "_Toc298412036" </w:instrText>
      </w:r>
      <w:r>
        <w:fldChar w:fldCharType="separate"/>
      </w:r>
      <w:r>
        <w:rPr>
          <w:rStyle w:val="32"/>
          <w:rFonts w:hint="eastAsia"/>
        </w:rPr>
        <w:t>5　结构</w:t>
      </w:r>
      <w:r>
        <w:tab/>
      </w:r>
      <w:r>
        <w:rPr>
          <w:rFonts w:hint="eastAsia"/>
        </w:rPr>
        <w:t>3</w:t>
      </w:r>
      <w:r>
        <w:rPr>
          <w:rFonts w:hint="eastAsia"/>
        </w:rPr>
        <w:fldChar w:fldCharType="end"/>
      </w:r>
    </w:p>
    <w:p w14:paraId="4E34255A">
      <w:pPr>
        <w:pStyle w:val="19"/>
        <w:tabs>
          <w:tab w:val="right" w:leader="dot" w:pos="9241"/>
        </w:tabs>
        <w:spacing w:before="78" w:after="78"/>
      </w:pPr>
      <w:r>
        <w:fldChar w:fldCharType="begin"/>
      </w:r>
      <w:r>
        <w:instrText xml:space="preserve"> HYPERLINK \l "_Toc298412036" </w:instrText>
      </w:r>
      <w:r>
        <w:fldChar w:fldCharType="separate"/>
      </w:r>
      <w:r>
        <w:rPr>
          <w:rStyle w:val="32"/>
          <w:rFonts w:hint="eastAsia"/>
        </w:rPr>
        <w:t>6　性能要求</w:t>
      </w:r>
      <w:r>
        <w:tab/>
      </w:r>
      <w:r>
        <w:rPr>
          <w:rFonts w:hint="eastAsia"/>
        </w:rPr>
        <w:t>5</w:t>
      </w:r>
      <w:r>
        <w:rPr>
          <w:rFonts w:hint="eastAsia"/>
        </w:rPr>
        <w:fldChar w:fldCharType="end"/>
      </w:r>
    </w:p>
    <w:p w14:paraId="4189D240">
      <w:pPr>
        <w:pStyle w:val="19"/>
        <w:tabs>
          <w:tab w:val="right" w:leader="dot" w:pos="9241"/>
        </w:tabs>
        <w:spacing w:before="78" w:after="78"/>
      </w:pPr>
      <w:r>
        <w:fldChar w:fldCharType="begin"/>
      </w:r>
      <w:r>
        <w:instrText xml:space="preserve"> HYPERLINK \l "_Toc298412036" </w:instrText>
      </w:r>
      <w:r>
        <w:fldChar w:fldCharType="separate"/>
      </w:r>
      <w:r>
        <w:rPr>
          <w:rStyle w:val="32"/>
          <w:rFonts w:hint="eastAsia"/>
        </w:rPr>
        <w:t>7　标志与标签</w:t>
      </w:r>
      <w:r>
        <w:tab/>
      </w:r>
      <w:r>
        <w:rPr>
          <w:rFonts w:hint="eastAsia"/>
        </w:rPr>
        <w:t>6</w:t>
      </w:r>
      <w:r>
        <w:rPr>
          <w:rFonts w:hint="eastAsia"/>
        </w:rPr>
        <w:fldChar w:fldCharType="end"/>
      </w:r>
    </w:p>
    <w:p w14:paraId="5F53B1F2">
      <w:pPr>
        <w:pStyle w:val="19"/>
        <w:tabs>
          <w:tab w:val="right" w:leader="dot" w:pos="9241"/>
        </w:tabs>
        <w:spacing w:before="78" w:after="78"/>
        <w:rPr>
          <w:rFonts w:ascii="Times New Roman"/>
          <w:szCs w:val="24"/>
        </w:rPr>
      </w:pPr>
      <w:r>
        <w:fldChar w:fldCharType="begin"/>
      </w:r>
      <w:r>
        <w:instrText xml:space="preserve"> HYPERLINK \l "_Toc298412038" </w:instrText>
      </w:r>
      <w:r>
        <w:fldChar w:fldCharType="separate"/>
      </w:r>
      <w:bookmarkStart w:id="23" w:name="_Hlt127041911"/>
      <w:bookmarkEnd w:id="23"/>
      <w:bookmarkStart w:id="24" w:name="_Hlt127041910"/>
      <w:bookmarkEnd w:id="24"/>
      <w:r>
        <w:rPr>
          <w:rStyle w:val="32"/>
          <w:rFonts w:hint="eastAsia"/>
        </w:rPr>
        <w:t>附录A（资料性附录）  产品类型</w:t>
      </w:r>
      <w:r>
        <w:tab/>
      </w:r>
      <w:r>
        <w:rPr>
          <w:rFonts w:hint="eastAsia"/>
        </w:rPr>
        <w:t>8</w:t>
      </w:r>
      <w:r>
        <w:rPr>
          <w:rFonts w:hint="eastAsia"/>
        </w:rPr>
        <w:fldChar w:fldCharType="end"/>
      </w:r>
    </w:p>
    <w:p w14:paraId="28DE82CF">
      <w:pPr>
        <w:pStyle w:val="19"/>
        <w:tabs>
          <w:tab w:val="right" w:leader="dot" w:pos="9241"/>
        </w:tabs>
        <w:spacing w:before="78" w:after="78"/>
        <w:rPr>
          <w:rFonts w:ascii="Times New Roman"/>
          <w:szCs w:val="24"/>
        </w:rPr>
      </w:pPr>
      <w:r>
        <w:fldChar w:fldCharType="begin"/>
      </w:r>
      <w:r>
        <w:instrText xml:space="preserve"> HYPERLINK \l "_Toc298412039" </w:instrText>
      </w:r>
      <w:r>
        <w:fldChar w:fldCharType="separate"/>
      </w:r>
      <w:r>
        <w:rPr>
          <w:rStyle w:val="32"/>
          <w:rFonts w:hint="eastAsia"/>
        </w:rPr>
        <w:t>附录B（资料性附录）</w:t>
      </w:r>
      <w:r>
        <w:rPr>
          <w:rStyle w:val="32"/>
        </w:rPr>
        <w:t>　</w:t>
      </w:r>
      <w:r>
        <w:rPr>
          <w:rStyle w:val="32"/>
          <w:rFonts w:hint="eastAsia"/>
        </w:rPr>
        <w:t>参考文献</w:t>
      </w:r>
      <w:r>
        <w:tab/>
      </w:r>
      <w:r>
        <w:fldChar w:fldCharType="end"/>
      </w:r>
      <w:r>
        <w:rPr>
          <w:rFonts w:hint="eastAsia"/>
        </w:rPr>
        <w:t>9</w:t>
      </w:r>
    </w:p>
    <w:p w14:paraId="7B4CF645">
      <w:pPr>
        <w:pStyle w:val="19"/>
        <w:tabs>
          <w:tab w:val="right" w:leader="dot" w:pos="9241"/>
        </w:tabs>
        <w:spacing w:before="78" w:after="78"/>
        <w:rPr>
          <w:rFonts w:ascii="Times New Roman"/>
          <w:szCs w:val="24"/>
        </w:rPr>
      </w:pPr>
      <w:r>
        <w:fldChar w:fldCharType="begin"/>
      </w:r>
      <w:r>
        <w:instrText xml:space="preserve"> HYPERLINK \l "_Toc298412040" </w:instrText>
      </w:r>
      <w:r>
        <w:fldChar w:fldCharType="separate"/>
      </w:r>
      <w:r>
        <w:rPr>
          <w:rStyle w:val="32"/>
          <w:rFonts w:hint="eastAsia"/>
        </w:rPr>
        <w:t>附录C（规范性附录）</w:t>
      </w:r>
      <w:r>
        <w:rPr>
          <w:rStyle w:val="32"/>
        </w:rPr>
        <w:t>　</w:t>
      </w:r>
      <w:r>
        <w:rPr>
          <w:rFonts w:hint="eastAsia" w:hAnsi="宋体"/>
        </w:rPr>
        <w:t>漆层</w:t>
      </w:r>
      <w:r>
        <w:rPr>
          <w:rFonts w:hAnsi="宋体"/>
        </w:rPr>
        <w:t>耐划伤</w:t>
      </w:r>
      <w:r>
        <w:rPr>
          <w:rFonts w:hint="eastAsia" w:hAnsi="宋体"/>
        </w:rPr>
        <w:t>性</w:t>
      </w:r>
      <w:r>
        <w:rPr>
          <w:rFonts w:hAnsi="宋体"/>
        </w:rPr>
        <w:t>试验方法</w:t>
      </w:r>
      <w:r>
        <w:tab/>
      </w:r>
      <w:r>
        <w:fldChar w:fldCharType="end"/>
      </w:r>
      <w:r>
        <w:rPr>
          <w:rFonts w:hint="eastAsia"/>
        </w:rPr>
        <w:t>10</w:t>
      </w:r>
    </w:p>
    <w:p w14:paraId="5290A250">
      <w:pPr>
        <w:pStyle w:val="19"/>
        <w:tabs>
          <w:tab w:val="right" w:leader="dot" w:pos="9241"/>
        </w:tabs>
        <w:spacing w:before="78" w:after="78"/>
        <w:rPr>
          <w:rFonts w:ascii="Times New Roman"/>
          <w:szCs w:val="24"/>
        </w:rPr>
      </w:pPr>
      <w:r>
        <w:fldChar w:fldCharType="begin"/>
      </w:r>
      <w:r>
        <w:instrText xml:space="preserve"> HYPERLINK \l "_Toc298412040" </w:instrText>
      </w:r>
      <w:r>
        <w:fldChar w:fldCharType="separate"/>
      </w:r>
      <w:r>
        <w:rPr>
          <w:rStyle w:val="32"/>
          <w:rFonts w:hint="eastAsia"/>
        </w:rPr>
        <w:t>附录D（规范性附录）</w:t>
      </w:r>
      <w:r>
        <w:rPr>
          <w:rStyle w:val="32"/>
        </w:rPr>
        <w:t>　</w:t>
      </w:r>
      <w:r>
        <w:rPr>
          <w:rFonts w:hint="eastAsia" w:hAnsi="宋体"/>
        </w:rPr>
        <w:t>漆层</w:t>
      </w:r>
      <w:r>
        <w:rPr>
          <w:rFonts w:hAnsi="宋体"/>
        </w:rPr>
        <w:t>耐紫外线辐射试验方法</w:t>
      </w:r>
      <w:r>
        <w:tab/>
      </w:r>
      <w:r>
        <w:rPr>
          <w:rFonts w:hint="eastAsia"/>
        </w:rPr>
        <w:t>1</w:t>
      </w:r>
      <w:r>
        <w:rPr>
          <w:rFonts w:hint="eastAsia"/>
        </w:rPr>
        <w:fldChar w:fldCharType="end"/>
      </w:r>
      <w:r>
        <w:rPr>
          <w:rFonts w:hint="eastAsia"/>
        </w:rPr>
        <w:t>2</w:t>
      </w:r>
    </w:p>
    <w:p w14:paraId="11AFAA9C">
      <w:pPr>
        <w:pStyle w:val="19"/>
        <w:tabs>
          <w:tab w:val="right" w:leader="dot" w:pos="9241"/>
        </w:tabs>
        <w:spacing w:before="78" w:after="78"/>
        <w:rPr>
          <w:rFonts w:ascii="Times New Roman"/>
          <w:szCs w:val="24"/>
        </w:rPr>
      </w:pPr>
      <w:r>
        <w:fldChar w:fldCharType="begin"/>
      </w:r>
      <w:r>
        <w:instrText xml:space="preserve"> HYPERLINK \l "_Toc298412040" </w:instrText>
      </w:r>
      <w:r>
        <w:fldChar w:fldCharType="separate"/>
      </w:r>
      <w:r>
        <w:rPr>
          <w:rStyle w:val="32"/>
          <w:rFonts w:hint="eastAsia"/>
        </w:rPr>
        <w:t>附录E（规范性附录）</w:t>
      </w:r>
      <w:r>
        <w:rPr>
          <w:rStyle w:val="32"/>
        </w:rPr>
        <w:t>　</w:t>
      </w:r>
      <w:r>
        <w:rPr>
          <w:rFonts w:hAnsi="宋体"/>
        </w:rPr>
        <w:t>矩形</w:t>
      </w:r>
      <w:r>
        <w:rPr>
          <w:rFonts w:hint="eastAsia" w:hAnsi="宋体"/>
        </w:rPr>
        <w:t>、</w:t>
      </w:r>
      <w:r>
        <w:rPr>
          <w:rFonts w:hAnsi="宋体"/>
        </w:rPr>
        <w:t>方形</w:t>
      </w:r>
      <w:r>
        <w:rPr>
          <w:rFonts w:hint="eastAsia" w:hAnsi="宋体"/>
        </w:rPr>
        <w:t>碟和盘抗扭强度</w:t>
      </w:r>
      <w:r>
        <w:rPr>
          <w:rFonts w:hAnsi="宋体"/>
        </w:rPr>
        <w:t>试验方法</w:t>
      </w:r>
      <w:r>
        <w:tab/>
      </w:r>
      <w:r>
        <w:rPr>
          <w:rFonts w:hint="eastAsia"/>
        </w:rPr>
        <w:t>1</w:t>
      </w:r>
      <w:r>
        <w:rPr>
          <w:rFonts w:hint="eastAsia"/>
        </w:rPr>
        <w:fldChar w:fldCharType="end"/>
      </w:r>
      <w:r>
        <w:rPr>
          <w:rFonts w:hint="eastAsia"/>
        </w:rPr>
        <w:t>3</w:t>
      </w:r>
    </w:p>
    <w:p w14:paraId="1B30EA75">
      <w:pPr>
        <w:pStyle w:val="19"/>
        <w:tabs>
          <w:tab w:val="right" w:leader="dot" w:pos="9241"/>
        </w:tabs>
        <w:spacing w:before="78" w:after="78"/>
        <w:rPr>
          <w:rFonts w:ascii="Times New Roman"/>
          <w:szCs w:val="24"/>
        </w:rPr>
      </w:pPr>
      <w:r>
        <w:fldChar w:fldCharType="begin"/>
      </w:r>
      <w:r>
        <w:instrText xml:space="preserve"> HYPERLINK \l "_Toc298412040" </w:instrText>
      </w:r>
      <w:r>
        <w:fldChar w:fldCharType="separate"/>
      </w:r>
      <w:r>
        <w:rPr>
          <w:rStyle w:val="32"/>
          <w:rFonts w:hint="eastAsia"/>
        </w:rPr>
        <w:t>附录F（规范性附录）</w:t>
      </w:r>
      <w:r>
        <w:rPr>
          <w:rStyle w:val="32"/>
        </w:rPr>
        <w:t>　</w:t>
      </w:r>
      <w:r>
        <w:rPr>
          <w:rFonts w:hint="eastAsia" w:hAnsi="宋体"/>
        </w:rPr>
        <w:t>碟和盘的抗凹变</w:t>
      </w:r>
      <w:r>
        <w:rPr>
          <w:rFonts w:hAnsi="宋体"/>
        </w:rPr>
        <w:t>试验方法</w:t>
      </w:r>
      <w:r>
        <w:tab/>
      </w:r>
      <w:r>
        <w:rPr>
          <w:rFonts w:hint="eastAsia"/>
        </w:rPr>
        <w:t>1</w:t>
      </w:r>
      <w:r>
        <w:rPr>
          <w:rFonts w:hint="eastAsia"/>
        </w:rPr>
        <w:fldChar w:fldCharType="end"/>
      </w:r>
      <w:r>
        <w:rPr>
          <w:rFonts w:hint="eastAsia"/>
        </w:rPr>
        <w:t>5</w:t>
      </w:r>
    </w:p>
    <w:p w14:paraId="3E9F3E6E">
      <w:pPr>
        <w:pStyle w:val="19"/>
        <w:tabs>
          <w:tab w:val="right" w:leader="dot" w:pos="9241"/>
        </w:tabs>
        <w:spacing w:before="78" w:after="78"/>
        <w:rPr>
          <w:rFonts w:ascii="Times New Roman"/>
          <w:szCs w:val="24"/>
        </w:rPr>
      </w:pPr>
      <w:r>
        <w:fldChar w:fldCharType="begin"/>
      </w:r>
      <w:r>
        <w:instrText xml:space="preserve"> HYPERLINK \l "_Toc298412040" </w:instrText>
      </w:r>
      <w:r>
        <w:fldChar w:fldCharType="separate"/>
      </w:r>
      <w:r>
        <w:rPr>
          <w:rStyle w:val="32"/>
          <w:rFonts w:hint="eastAsia"/>
        </w:rPr>
        <w:t>附录G（规范性附录）</w:t>
      </w:r>
      <w:r>
        <w:rPr>
          <w:rStyle w:val="32"/>
        </w:rPr>
        <w:t>　</w:t>
      </w:r>
      <w:r>
        <w:rPr>
          <w:rFonts w:hAnsi="宋体"/>
        </w:rPr>
        <w:t>器皿</w:t>
      </w:r>
      <w:r>
        <w:rPr>
          <w:rFonts w:hint="eastAsia" w:hAnsi="宋体"/>
        </w:rPr>
        <w:t>负载</w:t>
      </w:r>
      <w:r>
        <w:rPr>
          <w:rFonts w:hAnsi="宋体"/>
        </w:rPr>
        <w:t>强度试验方法</w:t>
      </w:r>
      <w:r>
        <w:tab/>
      </w:r>
      <w:r>
        <w:fldChar w:fldCharType="end"/>
      </w:r>
      <w:r>
        <w:rPr>
          <w:rFonts w:hint="eastAsia"/>
        </w:rPr>
        <w:t>16</w:t>
      </w:r>
    </w:p>
    <w:p w14:paraId="7E2AD713">
      <w:pPr>
        <w:pStyle w:val="19"/>
        <w:tabs>
          <w:tab w:val="right" w:leader="dot" w:pos="9241"/>
        </w:tabs>
        <w:spacing w:before="78" w:after="78"/>
        <w:rPr>
          <w:rFonts w:ascii="Times New Roman"/>
          <w:szCs w:val="24"/>
        </w:rPr>
      </w:pPr>
      <w:r>
        <w:fldChar w:fldCharType="begin"/>
      </w:r>
      <w:r>
        <w:instrText xml:space="preserve"> HYPERLINK \l "_Toc298412040" </w:instrText>
      </w:r>
      <w:r>
        <w:fldChar w:fldCharType="separate"/>
      </w:r>
      <w:r>
        <w:rPr>
          <w:rStyle w:val="32"/>
          <w:rFonts w:hint="eastAsia"/>
        </w:rPr>
        <w:t>附录H（规范性附录）</w:t>
      </w:r>
      <w:r>
        <w:rPr>
          <w:rStyle w:val="32"/>
        </w:rPr>
        <w:t>　</w:t>
      </w:r>
      <w:r>
        <w:rPr>
          <w:rFonts w:hAnsi="宋体"/>
        </w:rPr>
        <w:t>附件强度试验方法</w:t>
      </w:r>
      <w:r>
        <w:tab/>
      </w:r>
      <w:r>
        <w:rPr>
          <w:rFonts w:hint="eastAsia"/>
        </w:rPr>
        <w:t>1</w:t>
      </w:r>
      <w:r>
        <w:rPr>
          <w:rFonts w:hint="eastAsia"/>
        </w:rPr>
        <w:fldChar w:fldCharType="end"/>
      </w:r>
      <w:r>
        <w:rPr>
          <w:rFonts w:hint="eastAsia"/>
        </w:rPr>
        <w:t>7</w:t>
      </w:r>
    </w:p>
    <w:p w14:paraId="4C8A014B">
      <w:pPr>
        <w:pStyle w:val="19"/>
        <w:tabs>
          <w:tab w:val="right" w:leader="dot" w:pos="9241"/>
        </w:tabs>
        <w:spacing w:before="78" w:after="78"/>
        <w:rPr>
          <w:rFonts w:ascii="Times New Roman"/>
          <w:szCs w:val="24"/>
        </w:rPr>
      </w:pPr>
      <w:r>
        <w:fldChar w:fldCharType="begin"/>
      </w:r>
      <w:r>
        <w:instrText xml:space="preserve"> HYPERLINK \l "_Toc298412040" </w:instrText>
      </w:r>
      <w:r>
        <w:fldChar w:fldCharType="separate"/>
      </w:r>
      <w:r>
        <w:rPr>
          <w:rStyle w:val="32"/>
          <w:rFonts w:hint="eastAsia"/>
        </w:rPr>
        <w:t>附录J（规范性附录）</w:t>
      </w:r>
      <w:r>
        <w:rPr>
          <w:rStyle w:val="32"/>
        </w:rPr>
        <w:t>　</w:t>
      </w:r>
      <w:r>
        <w:rPr>
          <w:rFonts w:hint="eastAsia" w:hAnsi="宋体"/>
        </w:rPr>
        <w:t>倒水</w:t>
      </w:r>
      <w:r>
        <w:rPr>
          <w:rFonts w:hAnsi="宋体"/>
        </w:rPr>
        <w:t>试验方法</w:t>
      </w:r>
      <w:r>
        <w:tab/>
      </w:r>
      <w:r>
        <w:rPr>
          <w:rFonts w:hint="eastAsia"/>
        </w:rPr>
        <w:t>1</w:t>
      </w:r>
      <w:r>
        <w:rPr>
          <w:rFonts w:hint="eastAsia"/>
        </w:rPr>
        <w:fldChar w:fldCharType="end"/>
      </w:r>
      <w:r>
        <w:rPr>
          <w:rFonts w:hint="eastAsia"/>
        </w:rPr>
        <w:t>8</w:t>
      </w:r>
    </w:p>
    <w:p w14:paraId="65606ACB">
      <w:pPr>
        <w:pStyle w:val="19"/>
        <w:tabs>
          <w:tab w:val="right" w:leader="dot" w:pos="9241"/>
        </w:tabs>
        <w:spacing w:before="78" w:after="78"/>
        <w:rPr>
          <w:rFonts w:ascii="Times New Roman"/>
          <w:szCs w:val="24"/>
        </w:rPr>
      </w:pPr>
      <w:r>
        <w:fldChar w:fldCharType="begin"/>
      </w:r>
      <w:r>
        <w:instrText xml:space="preserve"> HYPERLINK \l "_Toc298412040" </w:instrText>
      </w:r>
      <w:r>
        <w:fldChar w:fldCharType="separate"/>
      </w:r>
      <w:r>
        <w:rPr>
          <w:rStyle w:val="32"/>
          <w:rFonts w:hint="eastAsia"/>
        </w:rPr>
        <w:t>附录K（规范性附录）</w:t>
      </w:r>
      <w:r>
        <w:rPr>
          <w:rStyle w:val="32"/>
        </w:rPr>
        <w:t>　</w:t>
      </w:r>
      <w:r>
        <w:rPr>
          <w:rFonts w:hAnsi="宋体"/>
        </w:rPr>
        <w:t>手柄</w:t>
      </w:r>
      <w:r>
        <w:rPr>
          <w:rFonts w:hint="eastAsia" w:hAnsi="宋体"/>
        </w:rPr>
        <w:t>温升和</w:t>
      </w:r>
      <w:r>
        <w:rPr>
          <w:rFonts w:hAnsi="宋体"/>
        </w:rPr>
        <w:t>泄漏试验方法</w:t>
      </w:r>
      <w:r>
        <w:tab/>
      </w:r>
      <w:r>
        <w:rPr>
          <w:rFonts w:hint="eastAsia"/>
        </w:rPr>
        <w:t>1</w:t>
      </w:r>
      <w:r>
        <w:rPr>
          <w:rFonts w:hint="eastAsia"/>
        </w:rPr>
        <w:fldChar w:fldCharType="end"/>
      </w:r>
      <w:r>
        <w:rPr>
          <w:rFonts w:hint="eastAsia"/>
        </w:rPr>
        <w:t>9</w:t>
      </w:r>
    </w:p>
    <w:p w14:paraId="3EEDD1B3">
      <w:pPr>
        <w:pStyle w:val="19"/>
        <w:tabs>
          <w:tab w:val="right" w:leader="dot" w:pos="9241"/>
        </w:tabs>
        <w:spacing w:before="78" w:after="78"/>
        <w:rPr>
          <w:rFonts w:ascii="Times New Roman"/>
          <w:szCs w:val="24"/>
        </w:rPr>
      </w:pPr>
    </w:p>
    <w:p w14:paraId="4492A5B5">
      <w:pPr>
        <w:pStyle w:val="232"/>
        <w:ind w:firstLine="420" w:firstLineChars="200"/>
        <w:rPr>
          <w:rFonts w:hint="eastAsia" w:ascii="宋体" w:hAnsi="宋体"/>
        </w:rPr>
      </w:pPr>
      <w:r>
        <w:fldChar w:fldCharType="end"/>
      </w:r>
    </w:p>
    <w:p w14:paraId="48EBD6E3">
      <w:pPr>
        <w:pStyle w:val="232"/>
        <w:ind w:firstLine="420" w:firstLineChars="200"/>
        <w:rPr>
          <w:rFonts w:hint="eastAsia" w:ascii="宋体" w:hAnsi="宋体"/>
        </w:rPr>
      </w:pPr>
    </w:p>
    <w:p w14:paraId="1A9F9CE8">
      <w:pPr>
        <w:pStyle w:val="232"/>
        <w:ind w:firstLine="420" w:firstLineChars="200"/>
        <w:rPr>
          <w:rFonts w:hint="eastAsia" w:ascii="宋体" w:hAnsi="宋体"/>
        </w:rPr>
      </w:pPr>
    </w:p>
    <w:p w14:paraId="78532CF8">
      <w:pPr>
        <w:pStyle w:val="232"/>
        <w:ind w:firstLine="420" w:firstLineChars="200"/>
        <w:rPr>
          <w:rFonts w:hint="eastAsia" w:ascii="宋体" w:hAnsi="宋体"/>
        </w:rPr>
      </w:pPr>
    </w:p>
    <w:p w14:paraId="29F12B3E">
      <w:pPr>
        <w:pStyle w:val="232"/>
        <w:ind w:firstLine="420" w:firstLineChars="200"/>
        <w:rPr>
          <w:rFonts w:hint="eastAsia" w:ascii="宋体" w:hAnsi="宋体"/>
        </w:rPr>
      </w:pPr>
    </w:p>
    <w:p w14:paraId="2414BAD3">
      <w:pPr>
        <w:pStyle w:val="232"/>
        <w:ind w:firstLine="420" w:firstLineChars="200"/>
        <w:rPr>
          <w:rFonts w:hint="eastAsia" w:ascii="宋体" w:hAnsi="宋体"/>
        </w:rPr>
      </w:pPr>
    </w:p>
    <w:p w14:paraId="4A4FE733">
      <w:pPr>
        <w:pStyle w:val="232"/>
        <w:ind w:firstLine="420" w:firstLineChars="200"/>
        <w:rPr>
          <w:rFonts w:hint="eastAsia" w:ascii="宋体" w:hAnsi="宋体"/>
        </w:rPr>
      </w:pPr>
    </w:p>
    <w:bookmarkEnd w:id="19"/>
    <w:p w14:paraId="7665725B">
      <w:pPr>
        <w:spacing w:line="20" w:lineRule="exact"/>
        <w:jc w:val="center"/>
        <w:rPr>
          <w:rFonts w:hint="eastAsia" w:ascii="黑体" w:hAnsi="黑体" w:eastAsia="黑体"/>
          <w:sz w:val="32"/>
          <w:szCs w:val="32"/>
        </w:rPr>
      </w:pPr>
      <w:bookmarkStart w:id="25" w:name="BookMark4"/>
    </w:p>
    <w:p w14:paraId="2CE0FD4D">
      <w:pPr>
        <w:spacing w:line="20" w:lineRule="exact"/>
        <w:jc w:val="center"/>
        <w:rPr>
          <w:rFonts w:hint="eastAsia" w:ascii="黑体" w:hAnsi="黑体" w:eastAsia="黑体"/>
          <w:sz w:val="32"/>
          <w:szCs w:val="32"/>
        </w:rPr>
      </w:pPr>
    </w:p>
    <w:p w14:paraId="4E6250B5">
      <w:pPr>
        <w:spacing w:line="20" w:lineRule="exact"/>
        <w:jc w:val="center"/>
        <w:rPr>
          <w:rFonts w:hint="eastAsia" w:ascii="黑体" w:hAnsi="黑体" w:eastAsia="黑体"/>
          <w:sz w:val="32"/>
          <w:szCs w:val="32"/>
        </w:rPr>
      </w:pPr>
    </w:p>
    <w:p w14:paraId="2CBF1283">
      <w:pPr>
        <w:spacing w:line="20" w:lineRule="exact"/>
        <w:jc w:val="center"/>
        <w:rPr>
          <w:rFonts w:hint="eastAsia" w:ascii="黑体" w:hAnsi="黑体" w:eastAsia="黑体"/>
          <w:sz w:val="32"/>
          <w:szCs w:val="32"/>
        </w:rPr>
      </w:pPr>
    </w:p>
    <w:p w14:paraId="3935EE80">
      <w:pPr>
        <w:spacing w:line="20" w:lineRule="exact"/>
        <w:jc w:val="center"/>
        <w:rPr>
          <w:rFonts w:hint="eastAsia" w:ascii="黑体" w:hAnsi="黑体" w:eastAsia="黑体"/>
          <w:sz w:val="32"/>
          <w:szCs w:val="32"/>
        </w:rPr>
      </w:pPr>
    </w:p>
    <w:p w14:paraId="650B8634">
      <w:pPr>
        <w:spacing w:line="20" w:lineRule="exact"/>
        <w:jc w:val="center"/>
        <w:rPr>
          <w:rFonts w:hint="eastAsia" w:ascii="黑体" w:hAnsi="黑体" w:eastAsia="黑体"/>
          <w:sz w:val="32"/>
          <w:szCs w:val="32"/>
        </w:rPr>
      </w:pPr>
      <w:r>
        <w:rPr>
          <w:rFonts w:hint="eastAsia" w:ascii="黑体" w:hAnsi="黑体" w:eastAsia="黑体"/>
          <w:sz w:val="32"/>
          <w:szCs w:val="32"/>
        </w:rPr>
        <w:t xml:space="preserve">     </w:t>
      </w:r>
    </w:p>
    <w:sdt>
      <w:sdtPr>
        <w:tag w:val="NEW_STAND_NAME"/>
        <w:id w:val="595910757"/>
        <w:lock w:val="sdtLocked"/>
        <w:placeholder>
          <w:docPart w:val="78B038B8CDA14FB896D3A52BE67D1C8A"/>
        </w:placeholder>
      </w:sdtPr>
      <w:sdtContent>
        <w:p w14:paraId="062873B4">
          <w:pPr>
            <w:pStyle w:val="177"/>
            <w:spacing w:before="240" w:beforeLines="100" w:after="528" w:afterLines="220"/>
            <w:rPr>
              <w:rFonts w:hint="eastAsia"/>
            </w:rPr>
          </w:pPr>
          <w:bookmarkStart w:id="26" w:name="NEW_STAND_NAME"/>
          <w:r>
            <w:rPr>
              <w:rFonts w:hint="eastAsia"/>
            </w:rPr>
            <w:t>餐具和餐桌用凹形器皿</w:t>
          </w:r>
        </w:p>
        <w:p w14:paraId="58EB68B3">
          <w:pPr>
            <w:pStyle w:val="177"/>
            <w:spacing w:before="240" w:beforeLines="100" w:after="528" w:afterLines="220"/>
            <w:rPr>
              <w:rFonts w:hint="eastAsia"/>
            </w:rPr>
          </w:pPr>
          <w:r>
            <w:rPr>
              <w:rFonts w:hint="eastAsia"/>
            </w:rPr>
            <w:t>第3部分：镀银餐用和装饰用器皿技术要求</w:t>
          </w:r>
        </w:p>
      </w:sdtContent>
    </w:sdt>
    <w:bookmarkEnd w:id="26"/>
    <w:p w14:paraId="5A1C9097">
      <w:pPr>
        <w:pStyle w:val="104"/>
        <w:spacing w:before="240" w:after="240"/>
      </w:pPr>
      <w:bookmarkStart w:id="27" w:name="_Toc26648465"/>
      <w:bookmarkStart w:id="28" w:name="_Toc17233333"/>
      <w:bookmarkStart w:id="29" w:name="_Toc17233325"/>
      <w:bookmarkStart w:id="30" w:name="_Toc26986530"/>
      <w:bookmarkStart w:id="31" w:name="_Toc24884211"/>
      <w:bookmarkStart w:id="32" w:name="_Toc26986771"/>
      <w:bookmarkStart w:id="33" w:name="_Toc26718930"/>
      <w:bookmarkStart w:id="34" w:name="_Toc24884218"/>
      <w:r>
        <w:rPr>
          <w:rFonts w:hint="eastAsia"/>
        </w:rPr>
        <w:t>范围</w:t>
      </w:r>
      <w:bookmarkEnd w:id="27"/>
      <w:bookmarkEnd w:id="28"/>
      <w:bookmarkEnd w:id="29"/>
      <w:bookmarkEnd w:id="30"/>
      <w:bookmarkEnd w:id="31"/>
      <w:bookmarkEnd w:id="32"/>
      <w:bookmarkEnd w:id="33"/>
      <w:bookmarkEnd w:id="34"/>
    </w:p>
    <w:p w14:paraId="14E3CA79">
      <w:pPr>
        <w:ind w:firstLine="420" w:firstLineChars="200"/>
      </w:pPr>
      <w:bookmarkStart w:id="35" w:name="_Toc24884219"/>
      <w:bookmarkStart w:id="36" w:name="_Toc26718931"/>
      <w:bookmarkStart w:id="37" w:name="_Toc24884212"/>
      <w:bookmarkStart w:id="38" w:name="_Toc26986531"/>
      <w:bookmarkStart w:id="39" w:name="_Toc17233334"/>
      <w:bookmarkStart w:id="40" w:name="_Toc26648466"/>
      <w:bookmarkStart w:id="41" w:name="_Toc17233326"/>
      <w:bookmarkStart w:id="42" w:name="_Toc26986772"/>
      <w:r>
        <w:rPr>
          <w:rFonts w:hint="eastAsia"/>
        </w:rPr>
        <w:t>本文件规定了基体由金属制成、预期在餐桌上使用的镀银餐用和装饰用器皿的材料、性能要求和试验方法。</w:t>
      </w:r>
    </w:p>
    <w:p w14:paraId="01DB40BA">
      <w:pPr>
        <w:ind w:firstLine="420" w:firstLineChars="200"/>
      </w:pPr>
      <w:r>
        <w:rPr>
          <w:rFonts w:hint="eastAsia"/>
        </w:rPr>
        <w:t>对镀银之前的基体金属的成分限值进行了规定。</w:t>
      </w:r>
    </w:p>
    <w:p w14:paraId="534EDEF5">
      <w:pPr>
        <w:ind w:firstLine="420" w:firstLineChars="200"/>
      </w:pPr>
      <w:r>
        <w:rPr>
          <w:rFonts w:hint="eastAsia"/>
        </w:rPr>
        <w:t>对镀银涂层的黄铜、铜、镍银、锡铅合金和不锈钢炊具以及镀银铸造附件也做了要求。</w:t>
      </w:r>
    </w:p>
    <w:p w14:paraId="13CC5079">
      <w:pPr>
        <w:ind w:firstLine="420" w:firstLineChars="200"/>
      </w:pPr>
      <w:r>
        <w:rPr>
          <w:rFonts w:hint="eastAsia"/>
        </w:rPr>
        <w:t>镀银层的厚度规定为一、二、三级。这些喷镀也可以用漆膜保护。</w:t>
      </w:r>
    </w:p>
    <w:p w14:paraId="2037F8EB">
      <w:pPr>
        <w:ind w:firstLine="420" w:firstLineChars="200"/>
      </w:pPr>
      <w:r>
        <w:rPr>
          <w:rFonts w:hint="eastAsia"/>
        </w:rPr>
        <w:t>本文件适用于花瓶、奖杯等装饰品，包括壶、餐具、茶壶、咖啡壶、托盘、烛台、冰酒桶等。</w:t>
      </w:r>
    </w:p>
    <w:p w14:paraId="1E550360">
      <w:pPr>
        <w:ind w:firstLine="420" w:firstLineChars="200"/>
      </w:pPr>
      <w:r>
        <w:rPr>
          <w:rFonts w:hint="eastAsia"/>
        </w:rPr>
        <w:t>本文件不适用于完全由贵金属、黄铜、镍银、锡铅合金、不锈钢、陶瓷或玻璃制成的器皿。</w:t>
      </w:r>
    </w:p>
    <w:p w14:paraId="3E6F2F99">
      <w:pPr>
        <w:ind w:firstLine="420" w:firstLineChars="200"/>
      </w:pPr>
    </w:p>
    <w:p w14:paraId="4A81E37D">
      <w:pPr>
        <w:pStyle w:val="104"/>
        <w:spacing w:before="240" w:after="240"/>
      </w:pPr>
      <w:r>
        <w:rPr>
          <w:rFonts w:hint="eastAsia"/>
        </w:rPr>
        <w:t>规范性引用文件</w:t>
      </w:r>
      <w:bookmarkEnd w:id="35"/>
      <w:bookmarkEnd w:id="36"/>
      <w:bookmarkEnd w:id="37"/>
      <w:bookmarkEnd w:id="38"/>
      <w:bookmarkEnd w:id="39"/>
      <w:bookmarkEnd w:id="40"/>
      <w:bookmarkEnd w:id="41"/>
      <w:bookmarkEnd w:id="42"/>
    </w:p>
    <w:p w14:paraId="74010341">
      <w:pPr>
        <w:widowControl/>
        <w:ind w:left="420" w:firstLine="420" w:firstLineChars="200"/>
        <w:jc w:val="left"/>
        <w:rPr>
          <w:rFonts w:hint="eastAsia" w:ascii="宋体" w:hAnsi="宋体"/>
        </w:rPr>
      </w:pPr>
      <w:r>
        <w:rPr>
          <w:rFonts w:hint="eastAsia" w:ascii="宋体" w:hAnsi="宋体"/>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65E6D470">
      <w:pPr>
        <w:widowControl/>
        <w:ind w:left="420" w:firstLine="420" w:firstLineChars="200"/>
        <w:jc w:val="left"/>
        <w:rPr>
          <w:rFonts w:hint="eastAsia" w:ascii="宋体" w:hAnsi="宋体"/>
        </w:rPr>
      </w:pPr>
      <w:bookmarkStart w:id="43" w:name="_Hlk225772120"/>
      <w:r>
        <w:rPr>
          <w:rFonts w:hint="eastAsia" w:ascii="宋体" w:hAnsi="宋体"/>
        </w:rPr>
        <w:t>GB/T 4955-2005  金属覆盖层 覆盖层厚度测量 阳极溶解库仑法（ISO 2177:2003,IDT）</w:t>
      </w:r>
    </w:p>
    <w:p w14:paraId="6370C864">
      <w:pPr>
        <w:widowControl/>
        <w:ind w:left="420" w:firstLine="420" w:firstLineChars="200"/>
        <w:jc w:val="left"/>
        <w:rPr>
          <w:rFonts w:hint="eastAsia" w:ascii="宋体" w:hAnsi="宋体"/>
        </w:rPr>
      </w:pPr>
      <w:r>
        <w:rPr>
          <w:rFonts w:hint="eastAsia" w:ascii="宋体" w:hAnsi="宋体"/>
        </w:rPr>
        <w:t>GB/T 6462-2005  金属和氧化物覆盖层厚度测量显微镜法（ISO 1463:2003，IDT）</w:t>
      </w:r>
    </w:p>
    <w:p w14:paraId="78C4A042">
      <w:pPr>
        <w:widowControl/>
        <w:ind w:left="420" w:firstLine="420" w:firstLineChars="200"/>
        <w:jc w:val="left"/>
        <w:rPr>
          <w:rFonts w:hint="eastAsia" w:ascii="宋体" w:hAnsi="宋体"/>
        </w:rPr>
      </w:pPr>
      <w:r>
        <w:rPr>
          <w:rFonts w:hint="eastAsia" w:ascii="宋体" w:hAnsi="宋体"/>
        </w:rPr>
        <w:t>GB/T 15067.1-1994  不锈钢餐具 术语（ISO 4481:1977，IDT）</w:t>
      </w:r>
    </w:p>
    <w:p w14:paraId="2A44EE74">
      <w:pPr>
        <w:widowControl/>
        <w:ind w:left="420" w:firstLine="420" w:firstLineChars="200"/>
        <w:jc w:val="left"/>
        <w:rPr>
          <w:rFonts w:hint="eastAsia" w:ascii="宋体" w:hAnsi="宋体"/>
        </w:rPr>
      </w:pPr>
      <w:r>
        <w:rPr>
          <w:rFonts w:hint="eastAsia" w:ascii="宋体" w:hAnsi="宋体"/>
        </w:rPr>
        <w:t>GB/T 16921-2005  金属覆盖层 覆盖层厚度测量 X射线光谱法（ISO 3497:2000,IDT）</w:t>
      </w:r>
    </w:p>
    <w:p w14:paraId="317C8FF7">
      <w:pPr>
        <w:widowControl/>
        <w:ind w:left="420" w:firstLine="420" w:firstLineChars="200"/>
        <w:jc w:val="left"/>
        <w:rPr>
          <w:rFonts w:hint="eastAsia" w:ascii="宋体" w:hAnsi="宋体"/>
        </w:rPr>
      </w:pPr>
      <w:r>
        <w:rPr>
          <w:rFonts w:hint="eastAsia" w:ascii="宋体" w:hAnsi="宋体"/>
        </w:rPr>
        <w:t>GB/T 20018-2005  金属与非金属覆盖层 覆盖层厚度测量 β射线背散射法（ISO 3543:2000，IDT）</w:t>
      </w:r>
    </w:p>
    <w:bookmarkEnd w:id="43"/>
    <w:p w14:paraId="12ABB693">
      <w:pPr>
        <w:widowControl/>
        <w:ind w:left="420" w:firstLine="420" w:firstLineChars="200"/>
        <w:jc w:val="left"/>
        <w:rPr>
          <w:rFonts w:hint="eastAsia" w:ascii="宋体" w:hAnsi="宋体"/>
        </w:rPr>
      </w:pPr>
      <w:r>
        <w:rPr>
          <w:rFonts w:hint="eastAsia" w:ascii="宋体" w:hAnsi="宋体"/>
        </w:rPr>
        <w:t>ISO 8442-2：1997  接触食物的制品及材料 餐具和餐桌上用凹形器皿  第2部分：不锈钢和镀银餐具技术要求（ISO 8442-2:1997 Materials and articles in contact with foodstuffs - Cutlery and table holloware Part 2:Requirements for stainless steel and silver plated cutlery）</w:t>
      </w:r>
    </w:p>
    <w:p w14:paraId="6087CF96">
      <w:pPr>
        <w:widowControl/>
        <w:jc w:val="left"/>
        <w:rPr>
          <w:rFonts w:hint="eastAsia" w:ascii="宋体" w:hAnsi="宋体"/>
        </w:rPr>
      </w:pPr>
    </w:p>
    <w:p w14:paraId="55339172">
      <w:pPr>
        <w:pStyle w:val="104"/>
        <w:spacing w:before="240" w:after="240"/>
      </w:pPr>
      <w:r>
        <w:rPr>
          <w:rFonts w:hint="eastAsia"/>
        </w:rPr>
        <w:t>术语和定义</w:t>
      </w:r>
    </w:p>
    <w:p w14:paraId="365FA818">
      <w:pPr>
        <w:spacing w:line="360" w:lineRule="auto"/>
        <w:ind w:left="360"/>
        <w:rPr>
          <w:rFonts w:hint="eastAsia" w:ascii="宋体" w:hAnsi="宋体"/>
          <w:kern w:val="0"/>
        </w:rPr>
      </w:pPr>
      <w:r>
        <w:rPr>
          <w:rFonts w:hint="eastAsia" w:ascii="宋体" w:hAnsi="宋体"/>
          <w:kern w:val="0"/>
        </w:rPr>
        <w:t>GB/T 15067.1-1994 《不锈钢餐具 术语》、ISO 8442-2：1997《食品接触材料及制品 餐具和餐桌</w:t>
      </w:r>
    </w:p>
    <w:p w14:paraId="0EC066DB">
      <w:pPr>
        <w:spacing w:line="360" w:lineRule="auto"/>
        <w:jc w:val="left"/>
        <w:rPr>
          <w:rFonts w:hint="eastAsia" w:ascii="宋体" w:hAnsi="宋体"/>
          <w:kern w:val="0"/>
        </w:rPr>
      </w:pPr>
      <w:r>
        <w:rPr>
          <w:rFonts w:hint="eastAsia" w:ascii="宋体" w:hAnsi="宋体"/>
          <w:kern w:val="0"/>
        </w:rPr>
        <w:t>上用凹形器皿 第2部分：不锈钢和镀银餐具技术要求》以及下列术语和定义适用于本文件。</w:t>
      </w:r>
    </w:p>
    <w:p w14:paraId="063693A3">
      <w:pPr>
        <w:pStyle w:val="230"/>
        <w:numPr>
          <w:ilvl w:val="1"/>
          <w:numId w:val="33"/>
        </w:numPr>
        <w:adjustRightInd/>
        <w:spacing w:line="360" w:lineRule="auto"/>
        <w:ind w:firstLineChars="0"/>
        <w:rPr>
          <w:rFonts w:hint="eastAsia" w:ascii="黑体" w:hAnsi="黑体" w:eastAsia="黑体"/>
        </w:rPr>
      </w:pPr>
      <w:bookmarkStart w:id="44" w:name="_Hlk180674644"/>
    </w:p>
    <w:p w14:paraId="76CA90E7">
      <w:pPr>
        <w:pStyle w:val="230"/>
        <w:adjustRightInd/>
        <w:spacing w:line="360" w:lineRule="auto"/>
        <w:rPr>
          <w:rFonts w:hint="eastAsia" w:ascii="黑体" w:hAnsi="黑体" w:eastAsia="黑体"/>
        </w:rPr>
      </w:pPr>
      <w:r>
        <w:rPr>
          <w:rFonts w:hint="eastAsia" w:ascii="黑体" w:hAnsi="黑体" w:eastAsia="黑体"/>
        </w:rPr>
        <w:t>餐桌用器皿  table holloware</w:t>
      </w:r>
    </w:p>
    <w:p w14:paraId="5425F311">
      <w:pPr>
        <w:pStyle w:val="230"/>
        <w:adjustRightInd/>
        <w:spacing w:line="360" w:lineRule="auto"/>
        <w:ind w:left="360" w:firstLine="0" w:firstLineChars="0"/>
      </w:pPr>
      <w:bookmarkStart w:id="45" w:name="_Hlk224224839"/>
      <w:r>
        <w:rPr>
          <w:rFonts w:hint="eastAsia"/>
        </w:rPr>
        <w:t>该类产品一般为凹形，主要用于盛放食品或饮料</w:t>
      </w:r>
      <w:bookmarkEnd w:id="45"/>
      <w:r>
        <w:rPr>
          <w:rFonts w:hint="eastAsia"/>
        </w:rPr>
        <w:t>（见附录A）。</w:t>
      </w:r>
    </w:p>
    <w:p w14:paraId="4EEAA479">
      <w:pPr>
        <w:numPr>
          <w:ilvl w:val="1"/>
          <w:numId w:val="33"/>
        </w:numPr>
        <w:adjustRightInd/>
        <w:spacing w:line="360" w:lineRule="auto"/>
        <w:rPr>
          <w:rFonts w:hint="eastAsia" w:ascii="黑体" w:hAnsi="黑体" w:eastAsia="黑体"/>
        </w:rPr>
      </w:pPr>
      <w:r>
        <w:rPr>
          <w:rFonts w:hint="eastAsia" w:ascii="黑体" w:hAnsi="黑体" w:eastAsia="黑体"/>
        </w:rPr>
        <w:t xml:space="preserve"> </w:t>
      </w:r>
    </w:p>
    <w:p w14:paraId="1AB492DF">
      <w:pPr>
        <w:adjustRightInd/>
        <w:spacing w:line="360" w:lineRule="auto"/>
        <w:ind w:firstLine="420" w:firstLineChars="200"/>
        <w:rPr>
          <w:rFonts w:hint="eastAsia" w:ascii="黑体" w:hAnsi="黑体" w:eastAsia="黑体"/>
        </w:rPr>
      </w:pPr>
      <w:r>
        <w:rPr>
          <w:rFonts w:hint="eastAsia" w:ascii="黑体" w:hAnsi="黑体" w:eastAsia="黑体"/>
        </w:rPr>
        <w:t xml:space="preserve">装饰用器皿  decorative  </w:t>
      </w:r>
      <w:r>
        <w:rPr>
          <w:rFonts w:hint="eastAsia"/>
        </w:rPr>
        <w:t>holloware</w:t>
      </w:r>
    </w:p>
    <w:p w14:paraId="1C73317B">
      <w:pPr>
        <w:spacing w:line="360" w:lineRule="auto"/>
        <w:ind w:firstLine="420" w:firstLineChars="200"/>
      </w:pPr>
      <w:r>
        <w:rPr>
          <w:rFonts w:hint="eastAsia"/>
        </w:rPr>
        <w:t>该类产品一般为凹形，但不用于盛放食品或饮料，且包括不具有明显内部表面的器皿。</w:t>
      </w:r>
    </w:p>
    <w:p w14:paraId="0A3E0591">
      <w:pPr>
        <w:pStyle w:val="230"/>
        <w:numPr>
          <w:ilvl w:val="1"/>
          <w:numId w:val="34"/>
        </w:numPr>
        <w:adjustRightInd/>
        <w:spacing w:line="360" w:lineRule="auto"/>
        <w:ind w:firstLineChars="0"/>
        <w:rPr>
          <w:rFonts w:hint="eastAsia" w:ascii="黑体" w:hAnsi="黑体" w:eastAsia="黑体"/>
        </w:rPr>
      </w:pPr>
      <w:r>
        <w:rPr>
          <w:rFonts w:hint="eastAsia" w:ascii="黑体" w:hAnsi="黑体" w:eastAsia="黑体"/>
        </w:rPr>
        <w:t xml:space="preserve"> </w:t>
      </w:r>
    </w:p>
    <w:p w14:paraId="086842E7">
      <w:pPr>
        <w:pStyle w:val="230"/>
        <w:adjustRightInd/>
        <w:spacing w:line="360" w:lineRule="auto"/>
        <w:rPr>
          <w:rFonts w:hint="eastAsia" w:ascii="黑体" w:hAnsi="黑体" w:eastAsia="黑体"/>
        </w:rPr>
      </w:pPr>
      <w:r>
        <w:rPr>
          <w:rFonts w:hint="eastAsia" w:ascii="黑体" w:hAnsi="黑体" w:eastAsia="黑体"/>
        </w:rPr>
        <w:t>功能表面  functional  surface</w:t>
      </w:r>
    </w:p>
    <w:p w14:paraId="22DB4660">
      <w:pPr>
        <w:adjustRightInd/>
        <w:spacing w:line="360" w:lineRule="auto"/>
        <w:ind w:firstLine="420" w:firstLineChars="200"/>
        <w:jc w:val="left"/>
      </w:pPr>
      <w:bookmarkStart w:id="46" w:name="_Hlk224225011"/>
      <w:r>
        <w:rPr>
          <w:rFonts w:hint="eastAsia"/>
        </w:rPr>
        <w:t>餐桌上用或装饰用凹形器皿或银杯的外部表面，或浅型凹形器皿产品的内部或外部表面。此外，还包括能够产生等效作用的表面。</w:t>
      </w:r>
    </w:p>
    <w:bookmarkEnd w:id="46"/>
    <w:p w14:paraId="51279C07">
      <w:pPr>
        <w:numPr>
          <w:ilvl w:val="1"/>
          <w:numId w:val="34"/>
        </w:numPr>
        <w:adjustRightInd/>
        <w:spacing w:line="360" w:lineRule="auto"/>
        <w:rPr>
          <w:rFonts w:hint="eastAsia" w:ascii="黑体" w:hAnsi="黑体" w:eastAsia="黑体"/>
        </w:rPr>
      </w:pPr>
      <w:r>
        <w:rPr>
          <w:rFonts w:hint="eastAsia" w:ascii="黑体" w:hAnsi="黑体" w:eastAsia="黑体"/>
        </w:rPr>
        <w:t xml:space="preserve">  </w:t>
      </w:r>
    </w:p>
    <w:p w14:paraId="7799997F">
      <w:pPr>
        <w:adjustRightInd/>
        <w:spacing w:line="360" w:lineRule="auto"/>
        <w:ind w:firstLine="420" w:firstLineChars="200"/>
        <w:rPr>
          <w:rFonts w:hint="eastAsia" w:ascii="黑体" w:hAnsi="黑体" w:eastAsia="黑体"/>
        </w:rPr>
      </w:pPr>
      <w:r>
        <w:rPr>
          <w:rFonts w:hint="eastAsia" w:ascii="黑体" w:hAnsi="黑体" w:eastAsia="黑体"/>
        </w:rPr>
        <w:t>非功能表面  non functional  surface</w:t>
      </w:r>
    </w:p>
    <w:p w14:paraId="5AA29EFC">
      <w:pPr>
        <w:adjustRightInd/>
        <w:spacing w:line="360" w:lineRule="auto"/>
        <w:ind w:firstLine="420" w:firstLineChars="200"/>
      </w:pPr>
      <w:r>
        <w:rPr>
          <w:rFonts w:hint="eastAsia"/>
        </w:rPr>
        <w:t>凹形器皿中仅以美观为目的的镀银表面。例如：咖啡壶的内表面，花瓶的表面或与食品、饮料接触的镀银表面，这些表面在使用过程中应尽量减少磨损。</w:t>
      </w:r>
    </w:p>
    <w:p w14:paraId="2BBA2182">
      <w:pPr>
        <w:numPr>
          <w:ilvl w:val="1"/>
          <w:numId w:val="34"/>
        </w:numPr>
        <w:adjustRightInd/>
        <w:spacing w:line="360" w:lineRule="auto"/>
        <w:rPr>
          <w:rFonts w:hint="eastAsia" w:ascii="黑体" w:hAnsi="黑体" w:eastAsia="黑体"/>
        </w:rPr>
      </w:pPr>
      <w:r>
        <w:rPr>
          <w:rFonts w:hint="eastAsia" w:ascii="黑体" w:hAnsi="黑体" w:eastAsia="黑体"/>
        </w:rPr>
        <w:t xml:space="preserve">  </w:t>
      </w:r>
    </w:p>
    <w:p w14:paraId="1EA44AA6">
      <w:pPr>
        <w:adjustRightInd/>
        <w:spacing w:line="360" w:lineRule="auto"/>
        <w:ind w:firstLine="420" w:firstLineChars="200"/>
        <w:rPr>
          <w:rFonts w:hint="eastAsia" w:ascii="黑体" w:hAnsi="黑体" w:eastAsia="黑体"/>
        </w:rPr>
      </w:pPr>
      <w:r>
        <w:rPr>
          <w:rFonts w:hint="eastAsia" w:ascii="黑体" w:hAnsi="黑体" w:eastAsia="黑体"/>
        </w:rPr>
        <w:t>附件  attachment</w:t>
      </w:r>
    </w:p>
    <w:p w14:paraId="1FD094A7">
      <w:pPr>
        <w:adjustRightInd/>
        <w:spacing w:line="360" w:lineRule="auto"/>
        <w:ind w:firstLine="420" w:firstLineChars="200"/>
      </w:pPr>
      <w:r>
        <w:t>通过焊接</w:t>
      </w:r>
      <w:r>
        <w:rPr>
          <w:rFonts w:hint="eastAsia"/>
        </w:rPr>
        <w:t>和组装等</w:t>
      </w:r>
      <w:r>
        <w:t>工艺连接</w:t>
      </w:r>
      <w:r>
        <w:rPr>
          <w:rFonts w:hint="eastAsia"/>
        </w:rPr>
        <w:t>到</w:t>
      </w:r>
      <w:r>
        <w:t>器皿主体的部件，</w:t>
      </w:r>
      <w:r>
        <w:rPr>
          <w:rFonts w:hint="eastAsia"/>
        </w:rPr>
        <w:t>通常包括手柄、旋钮、支脚、喷嘴、杆和铰链</w:t>
      </w:r>
      <w:r>
        <w:t>等。</w:t>
      </w:r>
    </w:p>
    <w:p w14:paraId="1FE3960C">
      <w:pPr>
        <w:numPr>
          <w:ilvl w:val="1"/>
          <w:numId w:val="34"/>
        </w:numPr>
        <w:adjustRightInd/>
        <w:spacing w:line="360" w:lineRule="auto"/>
        <w:rPr>
          <w:rFonts w:hint="eastAsia" w:ascii="黑体" w:hAnsi="黑体" w:eastAsia="黑体"/>
        </w:rPr>
      </w:pPr>
      <w:r>
        <w:rPr>
          <w:rFonts w:hint="eastAsia" w:ascii="黑体" w:hAnsi="黑体" w:eastAsia="黑体"/>
        </w:rPr>
        <w:t xml:space="preserve">  </w:t>
      </w:r>
    </w:p>
    <w:p w14:paraId="790019DB">
      <w:pPr>
        <w:adjustRightInd/>
        <w:spacing w:line="360" w:lineRule="auto"/>
        <w:ind w:firstLine="420" w:firstLineChars="200"/>
        <w:rPr>
          <w:rFonts w:hint="eastAsia" w:ascii="黑体" w:hAnsi="黑体" w:eastAsia="黑体"/>
        </w:rPr>
      </w:pPr>
      <w:bookmarkStart w:id="47" w:name="_Hlk225772496"/>
      <w:r>
        <w:rPr>
          <w:rFonts w:hint="eastAsia" w:ascii="黑体" w:hAnsi="黑体" w:eastAsia="黑体"/>
        </w:rPr>
        <w:t>承重附件  load-bearing attachment</w:t>
      </w:r>
    </w:p>
    <w:p w14:paraId="13ECDC0D">
      <w:pPr>
        <w:adjustRightInd/>
        <w:spacing w:line="360" w:lineRule="auto"/>
        <w:ind w:firstLine="420" w:firstLineChars="200"/>
      </w:pPr>
      <w:bookmarkStart w:id="48" w:name="_Hlk224225530"/>
      <w:r>
        <w:rPr>
          <w:rFonts w:hint="eastAsia"/>
        </w:rPr>
        <w:t>在正常使用条件下，用于承受器皿和或其内容物重量的附件。这些附件包括把手、喷嘴、支脚、底座和高脚杯柄。</w:t>
      </w:r>
    </w:p>
    <w:bookmarkEnd w:id="47"/>
    <w:bookmarkEnd w:id="48"/>
    <w:p w14:paraId="00C28B02">
      <w:pPr>
        <w:numPr>
          <w:ilvl w:val="1"/>
          <w:numId w:val="34"/>
        </w:numPr>
        <w:adjustRightInd/>
        <w:spacing w:line="360" w:lineRule="auto"/>
        <w:rPr>
          <w:rFonts w:hint="eastAsia" w:ascii="黑体" w:hAnsi="黑体" w:eastAsia="黑体"/>
        </w:rPr>
      </w:pPr>
      <w:r>
        <w:rPr>
          <w:rFonts w:hint="eastAsia" w:ascii="黑体" w:hAnsi="黑体" w:eastAsia="黑体"/>
        </w:rPr>
        <w:t xml:space="preserve">  </w:t>
      </w:r>
    </w:p>
    <w:p w14:paraId="425B8C9D">
      <w:pPr>
        <w:adjustRightInd/>
        <w:spacing w:line="360" w:lineRule="auto"/>
        <w:ind w:firstLine="420" w:firstLineChars="200"/>
        <w:rPr>
          <w:rFonts w:hint="eastAsia" w:ascii="黑体" w:hAnsi="黑体" w:eastAsia="黑体"/>
        </w:rPr>
      </w:pPr>
      <w:bookmarkStart w:id="49" w:name="_Hlk225772521"/>
      <w:r>
        <w:rPr>
          <w:rFonts w:hint="eastAsia" w:ascii="黑体" w:hAnsi="黑体" w:eastAsia="黑体"/>
        </w:rPr>
        <w:t xml:space="preserve">毛刺  burrs  </w:t>
      </w:r>
    </w:p>
    <w:p w14:paraId="4D2E486A">
      <w:pPr>
        <w:adjustRightInd/>
        <w:spacing w:line="360" w:lineRule="auto"/>
        <w:ind w:firstLine="420" w:firstLineChars="200"/>
      </w:pPr>
      <w:bookmarkStart w:id="50" w:name="_Hlk224225610"/>
      <w:r>
        <w:rPr>
          <w:rFonts w:hint="eastAsia"/>
        </w:rPr>
        <w:t>产品上超出形状要求的金属部分，一般是以薄片状出现。</w:t>
      </w:r>
    </w:p>
    <w:bookmarkEnd w:id="49"/>
    <w:bookmarkEnd w:id="50"/>
    <w:p w14:paraId="039CE699">
      <w:pPr>
        <w:numPr>
          <w:ilvl w:val="1"/>
          <w:numId w:val="34"/>
        </w:numPr>
        <w:adjustRightInd/>
        <w:spacing w:line="360" w:lineRule="auto"/>
        <w:rPr>
          <w:rFonts w:hint="eastAsia" w:ascii="黑体" w:hAnsi="黑体" w:eastAsia="黑体"/>
        </w:rPr>
      </w:pPr>
      <w:r>
        <w:rPr>
          <w:rFonts w:hint="eastAsia" w:ascii="黑体" w:hAnsi="黑体" w:eastAsia="黑体"/>
        </w:rPr>
        <w:t xml:space="preserve">  </w:t>
      </w:r>
    </w:p>
    <w:p w14:paraId="35473820">
      <w:pPr>
        <w:adjustRightInd/>
        <w:spacing w:line="360" w:lineRule="auto"/>
        <w:ind w:firstLine="420" w:firstLineChars="200"/>
        <w:rPr>
          <w:rFonts w:hint="eastAsia" w:ascii="黑体" w:hAnsi="黑体" w:eastAsia="黑体"/>
        </w:rPr>
      </w:pPr>
      <w:bookmarkStart w:id="51" w:name="_Hlk225772535"/>
      <w:r>
        <w:rPr>
          <w:rFonts w:hint="eastAsia" w:ascii="黑体" w:hAnsi="黑体" w:eastAsia="黑体"/>
        </w:rPr>
        <w:t>烤箱用器皿  oven-to-tableware</w:t>
      </w:r>
    </w:p>
    <w:p w14:paraId="0840F47A">
      <w:pPr>
        <w:adjustRightInd/>
        <w:spacing w:line="360" w:lineRule="auto"/>
        <w:ind w:firstLine="420" w:firstLineChars="200"/>
      </w:pPr>
      <w:r>
        <w:rPr>
          <w:rFonts w:hint="eastAsia"/>
        </w:rPr>
        <w:t>指适用于温度高于250</w:t>
      </w:r>
      <w:r>
        <w:rPr>
          <w:rFonts w:hint="eastAsia" w:ascii="宋体"/>
        </w:rPr>
        <w:t>℃的</w:t>
      </w:r>
      <w:r>
        <w:rPr>
          <w:rFonts w:hint="eastAsia"/>
        </w:rPr>
        <w:t>烤箱中或电炉上的器皿，如：蔬菜盘、肉板、浇汁器皿、带盖汤碗、鱼池盘。</w:t>
      </w:r>
    </w:p>
    <w:bookmarkEnd w:id="51"/>
    <w:p w14:paraId="3EEF9F6C">
      <w:pPr>
        <w:numPr>
          <w:ilvl w:val="1"/>
          <w:numId w:val="34"/>
        </w:numPr>
        <w:adjustRightInd/>
        <w:spacing w:line="360" w:lineRule="auto"/>
        <w:rPr>
          <w:rFonts w:hint="eastAsia" w:ascii="黑体" w:hAnsi="黑体" w:eastAsia="黑体"/>
        </w:rPr>
      </w:pPr>
      <w:r>
        <w:rPr>
          <w:rFonts w:hint="eastAsia" w:ascii="黑体" w:hAnsi="黑体" w:eastAsia="黑体"/>
        </w:rPr>
        <w:t xml:space="preserve">  </w:t>
      </w:r>
    </w:p>
    <w:p w14:paraId="09C3C76E">
      <w:pPr>
        <w:adjustRightInd/>
        <w:spacing w:line="360" w:lineRule="auto"/>
        <w:ind w:firstLine="420" w:firstLineChars="200"/>
        <w:rPr>
          <w:rFonts w:hint="eastAsia" w:ascii="黑体" w:hAnsi="黑体" w:eastAsia="黑体"/>
        </w:rPr>
      </w:pPr>
      <w:bookmarkStart w:id="52" w:name="_Hlk225772612"/>
      <w:r>
        <w:rPr>
          <w:rFonts w:hint="eastAsia" w:ascii="黑体" w:hAnsi="黑体" w:eastAsia="黑体"/>
        </w:rPr>
        <w:t>器皿  vessel</w:t>
      </w:r>
    </w:p>
    <w:p w14:paraId="36C68E98">
      <w:pPr>
        <w:adjustRightInd/>
        <w:spacing w:line="360" w:lineRule="auto"/>
        <w:ind w:left="360"/>
      </w:pPr>
      <w:bookmarkStart w:id="53" w:name="_Hlk224225751"/>
      <w:r>
        <w:rPr>
          <w:rFonts w:hint="eastAsia"/>
        </w:rPr>
        <w:t>用于盛装食品和/或饮料的凹形器皿的统称。</w:t>
      </w:r>
      <w:bookmarkEnd w:id="53"/>
    </w:p>
    <w:bookmarkEnd w:id="52"/>
    <w:p w14:paraId="7A592991">
      <w:pPr>
        <w:pStyle w:val="230"/>
        <w:numPr>
          <w:ilvl w:val="1"/>
          <w:numId w:val="34"/>
        </w:numPr>
        <w:adjustRightInd/>
        <w:spacing w:line="360" w:lineRule="auto"/>
        <w:ind w:firstLineChars="0"/>
        <w:jc w:val="left"/>
        <w:rPr>
          <w:rFonts w:hint="eastAsia" w:ascii="黑体" w:hAnsi="黑体" w:eastAsia="黑体"/>
        </w:rPr>
      </w:pPr>
    </w:p>
    <w:p w14:paraId="499CA366">
      <w:pPr>
        <w:pStyle w:val="230"/>
        <w:adjustRightInd/>
        <w:spacing w:line="360" w:lineRule="auto"/>
        <w:jc w:val="left"/>
        <w:rPr>
          <w:rFonts w:hint="eastAsia" w:ascii="黑体" w:hAnsi="黑体" w:eastAsia="黑体"/>
        </w:rPr>
      </w:pPr>
      <w:bookmarkStart w:id="54" w:name="_Hlk225772550"/>
      <w:r>
        <w:rPr>
          <w:rFonts w:hint="eastAsia" w:ascii="黑体" w:hAnsi="黑体" w:eastAsia="黑体"/>
        </w:rPr>
        <w:t>有效容量  usable capacity</w:t>
      </w:r>
    </w:p>
    <w:p w14:paraId="1935667C">
      <w:pPr>
        <w:ind w:firstLine="420" w:firstLineChars="200"/>
      </w:pPr>
      <w:r>
        <w:rPr>
          <w:rFonts w:hint="eastAsia"/>
        </w:rPr>
        <w:t>按要求注入容器至其上口边缘下方15</w:t>
      </w:r>
      <w:r>
        <w:t>mm</w:t>
      </w:r>
      <w:r>
        <w:rPr>
          <w:rFonts w:hint="eastAsia" w:ascii="宋体"/>
        </w:rPr>
        <w:t>±</w:t>
      </w:r>
      <w:r>
        <w:t>1mm</w:t>
      </w:r>
      <w:r>
        <w:rPr>
          <w:rFonts w:hint="eastAsia"/>
        </w:rPr>
        <w:t>的位置时的液体体积。</w:t>
      </w:r>
    </w:p>
    <w:bookmarkEnd w:id="54"/>
    <w:p w14:paraId="30A96223">
      <w:pPr>
        <w:numPr>
          <w:ilvl w:val="1"/>
          <w:numId w:val="34"/>
        </w:numPr>
        <w:adjustRightInd/>
        <w:spacing w:line="360" w:lineRule="auto"/>
        <w:rPr>
          <w:rFonts w:hint="eastAsia" w:ascii="黑体" w:hAnsi="黑体" w:eastAsia="黑体"/>
        </w:rPr>
      </w:pPr>
      <w:r>
        <w:rPr>
          <w:rFonts w:hint="eastAsia" w:ascii="黑体" w:hAnsi="黑体" w:eastAsia="黑体"/>
        </w:rPr>
        <w:t xml:space="preserve">  </w:t>
      </w:r>
    </w:p>
    <w:p w14:paraId="6D26B04E">
      <w:pPr>
        <w:adjustRightInd/>
        <w:spacing w:line="360" w:lineRule="auto"/>
        <w:ind w:firstLine="420" w:firstLineChars="200"/>
        <w:rPr>
          <w:rFonts w:hint="eastAsia" w:ascii="黑体" w:hAnsi="黑体" w:eastAsia="黑体"/>
        </w:rPr>
      </w:pPr>
      <w:bookmarkStart w:id="55" w:name="_Hlk225772632"/>
      <w:r>
        <w:rPr>
          <w:rFonts w:hint="eastAsia" w:ascii="黑体" w:hAnsi="黑体" w:eastAsia="黑体"/>
        </w:rPr>
        <w:t>凹变  popping</w:t>
      </w:r>
    </w:p>
    <w:p w14:paraId="00468724">
      <w:pPr>
        <w:adjustRightInd/>
        <w:spacing w:line="360" w:lineRule="auto"/>
        <w:ind w:left="360"/>
      </w:pPr>
      <w:bookmarkStart w:id="56" w:name="_Hlk224225994"/>
      <w:r>
        <w:rPr>
          <w:rFonts w:hint="eastAsia"/>
        </w:rPr>
        <w:t>当用一负载施加到器皿凸边时，凹形器皿的外表面从凸面转变为凹面，通常都伴有明显的的响声。</w:t>
      </w:r>
    </w:p>
    <w:bookmarkEnd w:id="55"/>
    <w:bookmarkEnd w:id="56"/>
    <w:p w14:paraId="2CBB2BA6">
      <w:pPr>
        <w:numPr>
          <w:ilvl w:val="1"/>
          <w:numId w:val="34"/>
        </w:numPr>
        <w:adjustRightInd/>
        <w:spacing w:line="360" w:lineRule="auto"/>
        <w:rPr>
          <w:rFonts w:hint="eastAsia" w:ascii="黑体" w:hAnsi="黑体" w:eastAsia="黑体"/>
        </w:rPr>
      </w:pPr>
      <w:r>
        <w:rPr>
          <w:rFonts w:hint="eastAsia" w:ascii="黑体" w:hAnsi="黑体" w:eastAsia="黑体"/>
        </w:rPr>
        <w:t xml:space="preserve"> </w:t>
      </w:r>
    </w:p>
    <w:p w14:paraId="2386424B">
      <w:pPr>
        <w:adjustRightInd/>
        <w:spacing w:line="360" w:lineRule="auto"/>
        <w:ind w:firstLine="420" w:firstLineChars="200"/>
        <w:rPr>
          <w:rFonts w:hint="eastAsia" w:ascii="黑体" w:hAnsi="黑体" w:eastAsia="黑体"/>
        </w:rPr>
      </w:pPr>
      <w:bookmarkStart w:id="57" w:name="_Hlk225772682"/>
      <w:r>
        <w:rPr>
          <w:rFonts w:hint="eastAsia" w:ascii="黑体" w:hAnsi="黑体" w:eastAsia="黑体"/>
        </w:rPr>
        <w:t>正常矫正视力  normal corrected vision</w:t>
      </w:r>
    </w:p>
    <w:p w14:paraId="70AA07F1">
      <w:pPr>
        <w:adjustRightInd/>
        <w:spacing w:line="360" w:lineRule="auto"/>
        <w:ind w:left="360"/>
      </w:pPr>
      <w:r>
        <w:rPr>
          <w:rFonts w:hint="eastAsia"/>
        </w:rPr>
        <w:t>如果需要的话，将裸眼视力矫正到正常水平。</w:t>
      </w:r>
    </w:p>
    <w:p w14:paraId="45FF9A71">
      <w:pPr>
        <w:spacing w:line="360" w:lineRule="auto"/>
        <w:ind w:left="480"/>
        <w:rPr>
          <w:sz w:val="18"/>
          <w:szCs w:val="18"/>
        </w:rPr>
      </w:pPr>
      <w:r>
        <w:rPr>
          <w:rFonts w:hint="eastAsia"/>
          <w:sz w:val="18"/>
          <w:szCs w:val="18"/>
        </w:rPr>
        <w:t>注：通常通过佩戴眼镜来矫正视力。</w:t>
      </w:r>
      <w:bookmarkEnd w:id="44"/>
    </w:p>
    <w:bookmarkEnd w:id="57"/>
    <w:p w14:paraId="79D4BE7C">
      <w:pPr>
        <w:pStyle w:val="104"/>
        <w:spacing w:before="240" w:after="240"/>
      </w:pPr>
      <w:r>
        <w:rPr>
          <w:rFonts w:hint="eastAsia"/>
        </w:rPr>
        <w:t>材料</w:t>
      </w:r>
    </w:p>
    <w:p w14:paraId="719C884A">
      <w:pPr>
        <w:adjustRightInd/>
        <w:spacing w:line="360" w:lineRule="auto"/>
        <w:rPr>
          <w:rFonts w:hint="eastAsia" w:ascii="黑体" w:hAnsi="黑体" w:eastAsia="黑体"/>
        </w:rPr>
      </w:pPr>
      <w:r>
        <w:rPr>
          <w:rFonts w:hint="eastAsia" w:ascii="黑体" w:hAnsi="黑体" w:eastAsia="黑体"/>
        </w:rPr>
        <w:t>4.1  金属</w:t>
      </w:r>
    </w:p>
    <w:p w14:paraId="1D2578CB">
      <w:pPr>
        <w:pStyle w:val="230"/>
        <w:numPr>
          <w:ilvl w:val="2"/>
          <w:numId w:val="35"/>
        </w:numPr>
        <w:adjustRightInd/>
        <w:spacing w:line="360" w:lineRule="auto"/>
        <w:ind w:firstLineChars="0"/>
      </w:pPr>
      <w:r>
        <w:rPr>
          <w:rFonts w:hint="eastAsia"/>
        </w:rPr>
        <w:t xml:space="preserve"> 制造凹形器皿的基体金属成份应符合表1要求。 </w:t>
      </w:r>
    </w:p>
    <w:p w14:paraId="4197CB9A">
      <w:pPr>
        <w:adjustRightInd/>
        <w:spacing w:line="360" w:lineRule="auto"/>
      </w:pPr>
      <w:r>
        <w:rPr>
          <w:rFonts w:hint="eastAsia" w:ascii="黑体" w:hAnsi="黑体" w:eastAsia="黑体"/>
        </w:rPr>
        <w:t>4.1.2</w:t>
      </w:r>
      <w:r>
        <w:rPr>
          <w:rFonts w:hint="eastAsia"/>
        </w:rPr>
        <w:t xml:space="preserve">  镀银层的银含量应不低于98.5%。</w:t>
      </w:r>
    </w:p>
    <w:p w14:paraId="776AB433">
      <w:pPr>
        <w:numPr>
          <w:ilvl w:val="1"/>
          <w:numId w:val="35"/>
        </w:numPr>
        <w:adjustRightInd/>
        <w:spacing w:line="360" w:lineRule="auto"/>
      </w:pPr>
      <w:r>
        <w:rPr>
          <w:rFonts w:hint="eastAsia"/>
        </w:rPr>
        <w:t xml:space="preserve">  非金属</w:t>
      </w:r>
    </w:p>
    <w:p w14:paraId="538FFFE3">
      <w:pPr>
        <w:spacing w:line="360" w:lineRule="auto"/>
        <w:ind w:firstLine="420" w:firstLineChars="200"/>
      </w:pPr>
      <w:r>
        <w:rPr>
          <w:rFonts w:hint="eastAsia"/>
        </w:rPr>
        <w:t>镀银凹形器皿的非金属材料部分应采用以下材料制造：玻璃、陶瓷、骨质、角状物、硫化物纸板、塑料、木质、</w:t>
      </w:r>
      <w:r>
        <w:softHyphen/>
      </w:r>
      <w:r>
        <w:rPr>
          <w:rFonts w:hint="eastAsia"/>
        </w:rPr>
        <w:t>木-塑合成层压板或浸渍木质构成。成品凹形器皿应符合第6条的性能要求。餐桌用器皿的非金属部分应具有耐清洗温度为60</w:t>
      </w:r>
      <w:r>
        <w:rPr>
          <w:rFonts w:hint="eastAsia" w:ascii="宋体"/>
        </w:rPr>
        <w:t>℃的</w:t>
      </w:r>
      <w:r>
        <w:rPr>
          <w:rFonts w:hint="eastAsia"/>
        </w:rPr>
        <w:t>清洗过程的能力。</w:t>
      </w:r>
    </w:p>
    <w:p w14:paraId="56588EF1">
      <w:pPr>
        <w:spacing w:line="360" w:lineRule="auto"/>
        <w:jc w:val="center"/>
      </w:pPr>
      <w:r>
        <w:rPr>
          <w:rFonts w:hint="eastAsia"/>
        </w:rPr>
        <w:t>表1  镀银凹形餐用和装饰用器皿基体金属成分限量表</w:t>
      </w:r>
    </w:p>
    <w:tbl>
      <w:tblPr>
        <w:tblStyle w:val="26"/>
        <w:tblW w:w="100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720"/>
        <w:gridCol w:w="720"/>
        <w:gridCol w:w="720"/>
        <w:gridCol w:w="720"/>
        <w:gridCol w:w="774"/>
        <w:gridCol w:w="774"/>
        <w:gridCol w:w="774"/>
        <w:gridCol w:w="774"/>
        <w:gridCol w:w="774"/>
        <w:gridCol w:w="1170"/>
      </w:tblGrid>
      <w:tr w14:paraId="11B55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88" w:type="dxa"/>
            <w:vMerge w:val="restart"/>
          </w:tcPr>
          <w:p w14:paraId="1E708779">
            <w:pPr>
              <w:spacing w:line="360" w:lineRule="auto"/>
            </w:pPr>
          </w:p>
          <w:p w14:paraId="5E09F137">
            <w:pPr>
              <w:spacing w:line="360" w:lineRule="auto"/>
            </w:pPr>
            <w:r>
              <w:rPr>
                <w:rFonts w:hint="eastAsia"/>
              </w:rPr>
              <w:t xml:space="preserve">    金     属</w:t>
            </w:r>
          </w:p>
        </w:tc>
        <w:tc>
          <w:tcPr>
            <w:tcW w:w="7920" w:type="dxa"/>
            <w:gridSpan w:val="10"/>
          </w:tcPr>
          <w:p w14:paraId="3E77B707">
            <w:pPr>
              <w:spacing w:line="360" w:lineRule="auto"/>
            </w:pPr>
            <w:r>
              <w:rPr>
                <w:rFonts w:hint="eastAsia"/>
              </w:rPr>
              <w:t xml:space="preserve">                           化学成分（%）</w:t>
            </w:r>
            <w:r>
              <w:rPr>
                <w:rFonts w:hint="eastAsia"/>
                <w:vertAlign w:val="superscript"/>
              </w:rPr>
              <w:t>1）</w:t>
            </w:r>
          </w:p>
        </w:tc>
      </w:tr>
      <w:tr w14:paraId="477CD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88" w:type="dxa"/>
            <w:vMerge w:val="continue"/>
          </w:tcPr>
          <w:p w14:paraId="75F8832F">
            <w:pPr>
              <w:spacing w:line="360" w:lineRule="auto"/>
            </w:pPr>
          </w:p>
        </w:tc>
        <w:tc>
          <w:tcPr>
            <w:tcW w:w="720" w:type="dxa"/>
          </w:tcPr>
          <w:p w14:paraId="59CDA4F9">
            <w:pPr>
              <w:spacing w:line="360" w:lineRule="auto"/>
            </w:pPr>
            <w:r>
              <w:rPr>
                <w:rFonts w:hint="eastAsia"/>
              </w:rPr>
              <w:t xml:space="preserve"> C</w:t>
            </w:r>
          </w:p>
          <w:p w14:paraId="413ECAE2">
            <w:pPr>
              <w:spacing w:line="360" w:lineRule="auto"/>
            </w:pPr>
            <w:r>
              <w:rPr>
                <w:rFonts w:hint="eastAsia"/>
              </w:rPr>
              <w:t>Max.</w:t>
            </w:r>
          </w:p>
        </w:tc>
        <w:tc>
          <w:tcPr>
            <w:tcW w:w="720" w:type="dxa"/>
          </w:tcPr>
          <w:p w14:paraId="20FA258F">
            <w:pPr>
              <w:spacing w:line="360" w:lineRule="auto"/>
            </w:pPr>
            <w:r>
              <w:rPr>
                <w:rFonts w:hint="eastAsia"/>
              </w:rPr>
              <w:t xml:space="preserve"> Cr</w:t>
            </w:r>
          </w:p>
          <w:p w14:paraId="377F902E">
            <w:pPr>
              <w:spacing w:line="360" w:lineRule="auto"/>
            </w:pPr>
            <w:r>
              <w:rPr>
                <w:rFonts w:hint="eastAsia"/>
              </w:rPr>
              <w:t>Min.</w:t>
            </w:r>
          </w:p>
        </w:tc>
        <w:tc>
          <w:tcPr>
            <w:tcW w:w="720" w:type="dxa"/>
          </w:tcPr>
          <w:p w14:paraId="33CAF526">
            <w:pPr>
              <w:spacing w:line="360" w:lineRule="auto"/>
            </w:pPr>
            <w:r>
              <w:rPr>
                <w:rFonts w:hint="eastAsia"/>
              </w:rPr>
              <w:t xml:space="preserve"> Ni</w:t>
            </w:r>
          </w:p>
          <w:p w14:paraId="0C2B94BD">
            <w:pPr>
              <w:spacing w:line="360" w:lineRule="auto"/>
            </w:pPr>
            <w:r>
              <w:rPr>
                <w:rFonts w:hint="eastAsia"/>
              </w:rPr>
              <w:t>Min.</w:t>
            </w:r>
          </w:p>
        </w:tc>
        <w:tc>
          <w:tcPr>
            <w:tcW w:w="720" w:type="dxa"/>
          </w:tcPr>
          <w:p w14:paraId="7EF5D9A4">
            <w:pPr>
              <w:spacing w:line="360" w:lineRule="auto"/>
            </w:pPr>
            <w:r>
              <w:rPr>
                <w:rFonts w:hint="eastAsia"/>
              </w:rPr>
              <w:t xml:space="preserve"> Cu</w:t>
            </w:r>
          </w:p>
          <w:p w14:paraId="38AB779E">
            <w:pPr>
              <w:spacing w:line="360" w:lineRule="auto"/>
            </w:pPr>
            <w:r>
              <w:rPr>
                <w:rFonts w:hint="eastAsia"/>
              </w:rPr>
              <w:t>Min.</w:t>
            </w:r>
          </w:p>
        </w:tc>
        <w:tc>
          <w:tcPr>
            <w:tcW w:w="774" w:type="dxa"/>
          </w:tcPr>
          <w:p w14:paraId="2518B8CC">
            <w:pPr>
              <w:spacing w:line="360" w:lineRule="auto"/>
            </w:pPr>
            <w:r>
              <w:rPr>
                <w:rFonts w:hint="eastAsia"/>
              </w:rPr>
              <w:t xml:space="preserve"> Mn</w:t>
            </w:r>
          </w:p>
          <w:p w14:paraId="40764021">
            <w:pPr>
              <w:spacing w:line="360" w:lineRule="auto"/>
            </w:pPr>
            <w:r>
              <w:rPr>
                <w:rFonts w:hint="eastAsia"/>
              </w:rPr>
              <w:t>Max.</w:t>
            </w:r>
          </w:p>
        </w:tc>
        <w:tc>
          <w:tcPr>
            <w:tcW w:w="774" w:type="dxa"/>
          </w:tcPr>
          <w:p w14:paraId="1386F98C">
            <w:pPr>
              <w:spacing w:line="360" w:lineRule="auto"/>
            </w:pPr>
            <w:r>
              <w:rPr>
                <w:rFonts w:hint="eastAsia"/>
              </w:rPr>
              <w:t xml:space="preserve"> Fe</w:t>
            </w:r>
          </w:p>
          <w:p w14:paraId="3C20353E">
            <w:pPr>
              <w:spacing w:line="360" w:lineRule="auto"/>
            </w:pPr>
            <w:r>
              <w:rPr>
                <w:rFonts w:hint="eastAsia"/>
              </w:rPr>
              <w:t>Max.</w:t>
            </w:r>
          </w:p>
        </w:tc>
        <w:tc>
          <w:tcPr>
            <w:tcW w:w="774" w:type="dxa"/>
          </w:tcPr>
          <w:p w14:paraId="3AA76D01">
            <w:pPr>
              <w:spacing w:line="360" w:lineRule="auto"/>
            </w:pPr>
            <w:r>
              <w:rPr>
                <w:rFonts w:hint="eastAsia"/>
              </w:rPr>
              <w:t xml:space="preserve"> Pb</w:t>
            </w:r>
          </w:p>
          <w:p w14:paraId="440DA544">
            <w:pPr>
              <w:spacing w:line="360" w:lineRule="auto"/>
            </w:pPr>
            <w:r>
              <w:rPr>
                <w:rFonts w:hint="eastAsia"/>
              </w:rPr>
              <w:t>Max.</w:t>
            </w:r>
          </w:p>
        </w:tc>
        <w:tc>
          <w:tcPr>
            <w:tcW w:w="774" w:type="dxa"/>
          </w:tcPr>
          <w:p w14:paraId="5A89FCBD">
            <w:pPr>
              <w:spacing w:line="360" w:lineRule="auto"/>
            </w:pPr>
            <w:r>
              <w:rPr>
                <w:rFonts w:hint="eastAsia"/>
              </w:rPr>
              <w:t xml:space="preserve"> As</w:t>
            </w:r>
          </w:p>
          <w:p w14:paraId="7AB1D318">
            <w:pPr>
              <w:spacing w:line="360" w:lineRule="auto"/>
            </w:pPr>
            <w:r>
              <w:rPr>
                <w:rFonts w:hint="eastAsia"/>
              </w:rPr>
              <w:t>Max.</w:t>
            </w:r>
          </w:p>
        </w:tc>
        <w:tc>
          <w:tcPr>
            <w:tcW w:w="774" w:type="dxa"/>
          </w:tcPr>
          <w:p w14:paraId="12FC4A44">
            <w:pPr>
              <w:spacing w:line="360" w:lineRule="auto"/>
            </w:pPr>
            <w:r>
              <w:rPr>
                <w:rFonts w:hint="eastAsia"/>
              </w:rPr>
              <w:t xml:space="preserve"> Sn</w:t>
            </w:r>
          </w:p>
          <w:p w14:paraId="73B9C0A2">
            <w:pPr>
              <w:spacing w:line="360" w:lineRule="auto"/>
            </w:pPr>
            <w:r>
              <w:rPr>
                <w:rFonts w:hint="eastAsia"/>
              </w:rPr>
              <w:t>Min.</w:t>
            </w:r>
          </w:p>
        </w:tc>
        <w:tc>
          <w:tcPr>
            <w:tcW w:w="1170" w:type="dxa"/>
          </w:tcPr>
          <w:p w14:paraId="381FEDF4">
            <w:pPr>
              <w:spacing w:line="360" w:lineRule="auto"/>
            </w:pPr>
            <w:r>
              <w:rPr>
                <w:rFonts w:hint="eastAsia"/>
              </w:rPr>
              <w:t xml:space="preserve"> Zn</w:t>
            </w:r>
          </w:p>
          <w:p w14:paraId="3BF88115">
            <w:pPr>
              <w:spacing w:line="360" w:lineRule="auto"/>
            </w:pPr>
            <w:r>
              <w:rPr>
                <w:rFonts w:hint="eastAsia"/>
              </w:rPr>
              <w:t>Min.</w:t>
            </w:r>
          </w:p>
        </w:tc>
      </w:tr>
      <w:tr w14:paraId="18026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tcPr>
          <w:p w14:paraId="1BFD5AF3">
            <w:pPr>
              <w:spacing w:line="360" w:lineRule="auto"/>
            </w:pPr>
            <w:r>
              <w:rPr>
                <w:rFonts w:hint="eastAsia"/>
              </w:rPr>
              <w:t>奥氏体不锈钢</w:t>
            </w:r>
          </w:p>
        </w:tc>
        <w:tc>
          <w:tcPr>
            <w:tcW w:w="720" w:type="dxa"/>
          </w:tcPr>
          <w:p w14:paraId="6196DE83">
            <w:pPr>
              <w:spacing w:line="360" w:lineRule="auto"/>
            </w:pPr>
            <w:r>
              <w:rPr>
                <w:rFonts w:hint="eastAsia"/>
              </w:rPr>
              <w:t xml:space="preserve">0.10 </w:t>
            </w:r>
          </w:p>
        </w:tc>
        <w:tc>
          <w:tcPr>
            <w:tcW w:w="720" w:type="dxa"/>
          </w:tcPr>
          <w:p w14:paraId="73E3374E">
            <w:pPr>
              <w:spacing w:line="360" w:lineRule="auto"/>
            </w:pPr>
            <w:r>
              <w:rPr>
                <w:rFonts w:hint="eastAsia"/>
              </w:rPr>
              <w:t xml:space="preserve"> 17</w:t>
            </w:r>
          </w:p>
        </w:tc>
        <w:tc>
          <w:tcPr>
            <w:tcW w:w="720" w:type="dxa"/>
          </w:tcPr>
          <w:p w14:paraId="6ECDA4DE">
            <w:pPr>
              <w:spacing w:line="360" w:lineRule="auto"/>
            </w:pPr>
            <w:r>
              <w:rPr>
                <w:rFonts w:hint="eastAsia"/>
              </w:rPr>
              <w:t xml:space="preserve">  8</w:t>
            </w:r>
          </w:p>
        </w:tc>
        <w:tc>
          <w:tcPr>
            <w:tcW w:w="720" w:type="dxa"/>
          </w:tcPr>
          <w:p w14:paraId="623ACA76">
            <w:pPr>
              <w:spacing w:line="360" w:lineRule="auto"/>
            </w:pPr>
          </w:p>
        </w:tc>
        <w:tc>
          <w:tcPr>
            <w:tcW w:w="774" w:type="dxa"/>
          </w:tcPr>
          <w:p w14:paraId="04760DC7">
            <w:pPr>
              <w:spacing w:line="360" w:lineRule="auto"/>
            </w:pPr>
          </w:p>
        </w:tc>
        <w:tc>
          <w:tcPr>
            <w:tcW w:w="774" w:type="dxa"/>
          </w:tcPr>
          <w:p w14:paraId="3FFB36E7">
            <w:pPr>
              <w:spacing w:line="360" w:lineRule="auto"/>
            </w:pPr>
          </w:p>
        </w:tc>
        <w:tc>
          <w:tcPr>
            <w:tcW w:w="774" w:type="dxa"/>
          </w:tcPr>
          <w:p w14:paraId="23760AD2">
            <w:pPr>
              <w:spacing w:line="360" w:lineRule="auto"/>
            </w:pPr>
          </w:p>
        </w:tc>
        <w:tc>
          <w:tcPr>
            <w:tcW w:w="774" w:type="dxa"/>
          </w:tcPr>
          <w:p w14:paraId="0289D809">
            <w:pPr>
              <w:spacing w:line="360" w:lineRule="auto"/>
            </w:pPr>
          </w:p>
        </w:tc>
        <w:tc>
          <w:tcPr>
            <w:tcW w:w="774" w:type="dxa"/>
          </w:tcPr>
          <w:p w14:paraId="7D317827">
            <w:pPr>
              <w:spacing w:line="360" w:lineRule="auto"/>
            </w:pPr>
          </w:p>
        </w:tc>
        <w:tc>
          <w:tcPr>
            <w:tcW w:w="1170" w:type="dxa"/>
          </w:tcPr>
          <w:p w14:paraId="6DDB7AC9">
            <w:pPr>
              <w:spacing w:line="360" w:lineRule="auto"/>
            </w:pPr>
          </w:p>
        </w:tc>
      </w:tr>
      <w:tr w14:paraId="7D9AB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tcPr>
          <w:p w14:paraId="2EA7C183">
            <w:pPr>
              <w:spacing w:line="360" w:lineRule="auto"/>
            </w:pPr>
            <w:r>
              <w:rPr>
                <w:rFonts w:hint="eastAsia"/>
              </w:rPr>
              <w:t>铁素体不锈钢</w:t>
            </w:r>
          </w:p>
        </w:tc>
        <w:tc>
          <w:tcPr>
            <w:tcW w:w="720" w:type="dxa"/>
          </w:tcPr>
          <w:p w14:paraId="74B777D5">
            <w:pPr>
              <w:spacing w:line="360" w:lineRule="auto"/>
            </w:pPr>
          </w:p>
        </w:tc>
        <w:tc>
          <w:tcPr>
            <w:tcW w:w="720" w:type="dxa"/>
          </w:tcPr>
          <w:p w14:paraId="3D7D1DE4">
            <w:pPr>
              <w:spacing w:line="360" w:lineRule="auto"/>
            </w:pPr>
            <w:r>
              <w:rPr>
                <w:rFonts w:hint="eastAsia"/>
              </w:rPr>
              <w:t xml:space="preserve"> 16</w:t>
            </w:r>
          </w:p>
        </w:tc>
        <w:tc>
          <w:tcPr>
            <w:tcW w:w="720" w:type="dxa"/>
          </w:tcPr>
          <w:p w14:paraId="03F082E2">
            <w:pPr>
              <w:spacing w:line="360" w:lineRule="auto"/>
            </w:pPr>
            <w:r>
              <w:rPr>
                <w:rFonts w:hint="eastAsia"/>
              </w:rPr>
              <w:t xml:space="preserve"> </w:t>
            </w:r>
            <w:r>
              <w:softHyphen/>
            </w:r>
            <w:r>
              <w:t>—</w:t>
            </w:r>
          </w:p>
        </w:tc>
        <w:tc>
          <w:tcPr>
            <w:tcW w:w="720" w:type="dxa"/>
          </w:tcPr>
          <w:p w14:paraId="3CD9BD6B">
            <w:pPr>
              <w:spacing w:line="360" w:lineRule="auto"/>
            </w:pPr>
          </w:p>
        </w:tc>
        <w:tc>
          <w:tcPr>
            <w:tcW w:w="774" w:type="dxa"/>
          </w:tcPr>
          <w:p w14:paraId="084476E2">
            <w:pPr>
              <w:spacing w:line="360" w:lineRule="auto"/>
            </w:pPr>
          </w:p>
        </w:tc>
        <w:tc>
          <w:tcPr>
            <w:tcW w:w="774" w:type="dxa"/>
          </w:tcPr>
          <w:p w14:paraId="45917ABE">
            <w:pPr>
              <w:spacing w:line="360" w:lineRule="auto"/>
            </w:pPr>
          </w:p>
        </w:tc>
        <w:tc>
          <w:tcPr>
            <w:tcW w:w="774" w:type="dxa"/>
          </w:tcPr>
          <w:p w14:paraId="791E9F2A">
            <w:pPr>
              <w:spacing w:line="360" w:lineRule="auto"/>
            </w:pPr>
          </w:p>
        </w:tc>
        <w:tc>
          <w:tcPr>
            <w:tcW w:w="774" w:type="dxa"/>
          </w:tcPr>
          <w:p w14:paraId="26CD0DCA">
            <w:pPr>
              <w:spacing w:line="360" w:lineRule="auto"/>
            </w:pPr>
          </w:p>
        </w:tc>
        <w:tc>
          <w:tcPr>
            <w:tcW w:w="774" w:type="dxa"/>
          </w:tcPr>
          <w:p w14:paraId="2396B7DB">
            <w:pPr>
              <w:spacing w:line="360" w:lineRule="auto"/>
            </w:pPr>
          </w:p>
        </w:tc>
        <w:tc>
          <w:tcPr>
            <w:tcW w:w="1170" w:type="dxa"/>
          </w:tcPr>
          <w:p w14:paraId="68180C3F">
            <w:pPr>
              <w:spacing w:line="360" w:lineRule="auto"/>
            </w:pPr>
          </w:p>
        </w:tc>
      </w:tr>
      <w:tr w14:paraId="44056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tcPr>
          <w:p w14:paraId="333FA51F">
            <w:pPr>
              <w:spacing w:line="360" w:lineRule="auto"/>
            </w:pPr>
            <w:r>
              <w:rPr>
                <w:rFonts w:hint="eastAsia"/>
              </w:rPr>
              <w:t>镍—银（Cu.Ni.Zn）</w:t>
            </w:r>
          </w:p>
        </w:tc>
        <w:tc>
          <w:tcPr>
            <w:tcW w:w="720" w:type="dxa"/>
          </w:tcPr>
          <w:p w14:paraId="2BAE54D4">
            <w:pPr>
              <w:spacing w:line="360" w:lineRule="auto"/>
            </w:pPr>
          </w:p>
        </w:tc>
        <w:tc>
          <w:tcPr>
            <w:tcW w:w="720" w:type="dxa"/>
          </w:tcPr>
          <w:p w14:paraId="59F91631">
            <w:pPr>
              <w:spacing w:line="360" w:lineRule="auto"/>
            </w:pPr>
          </w:p>
        </w:tc>
        <w:tc>
          <w:tcPr>
            <w:tcW w:w="720" w:type="dxa"/>
          </w:tcPr>
          <w:p w14:paraId="43D53316">
            <w:pPr>
              <w:spacing w:line="360" w:lineRule="auto"/>
            </w:pPr>
            <w:r>
              <w:rPr>
                <w:rFonts w:hint="eastAsia"/>
              </w:rPr>
              <w:t xml:space="preserve">  9</w:t>
            </w:r>
          </w:p>
        </w:tc>
        <w:tc>
          <w:tcPr>
            <w:tcW w:w="720" w:type="dxa"/>
          </w:tcPr>
          <w:p w14:paraId="6515B24D">
            <w:pPr>
              <w:spacing w:line="360" w:lineRule="auto"/>
            </w:pPr>
            <w:r>
              <w:rPr>
                <w:rFonts w:hint="eastAsia"/>
              </w:rPr>
              <w:t xml:space="preserve"> 60</w:t>
            </w:r>
          </w:p>
        </w:tc>
        <w:tc>
          <w:tcPr>
            <w:tcW w:w="774" w:type="dxa"/>
          </w:tcPr>
          <w:p w14:paraId="0C660F9D">
            <w:pPr>
              <w:spacing w:line="360" w:lineRule="auto"/>
            </w:pPr>
            <w:r>
              <w:rPr>
                <w:rFonts w:hint="eastAsia"/>
              </w:rPr>
              <w:t xml:space="preserve"> 0.5</w:t>
            </w:r>
          </w:p>
        </w:tc>
        <w:tc>
          <w:tcPr>
            <w:tcW w:w="774" w:type="dxa"/>
          </w:tcPr>
          <w:p w14:paraId="4271B321">
            <w:pPr>
              <w:spacing w:line="360" w:lineRule="auto"/>
            </w:pPr>
            <w:r>
              <w:rPr>
                <w:rFonts w:hint="eastAsia"/>
              </w:rPr>
              <w:t xml:space="preserve"> 0.3</w:t>
            </w:r>
          </w:p>
        </w:tc>
        <w:tc>
          <w:tcPr>
            <w:tcW w:w="774" w:type="dxa"/>
          </w:tcPr>
          <w:p w14:paraId="1EF1E291">
            <w:pPr>
              <w:spacing w:line="360" w:lineRule="auto"/>
            </w:pPr>
            <w:r>
              <w:rPr>
                <w:rFonts w:hint="eastAsia"/>
              </w:rPr>
              <w:t xml:space="preserve"> 0.5</w:t>
            </w:r>
          </w:p>
        </w:tc>
        <w:tc>
          <w:tcPr>
            <w:tcW w:w="774" w:type="dxa"/>
          </w:tcPr>
          <w:p w14:paraId="408D8588">
            <w:pPr>
              <w:spacing w:line="360" w:lineRule="auto"/>
            </w:pPr>
          </w:p>
        </w:tc>
        <w:tc>
          <w:tcPr>
            <w:tcW w:w="774" w:type="dxa"/>
          </w:tcPr>
          <w:p w14:paraId="1048765F">
            <w:pPr>
              <w:spacing w:line="360" w:lineRule="auto"/>
            </w:pPr>
          </w:p>
        </w:tc>
        <w:tc>
          <w:tcPr>
            <w:tcW w:w="1170" w:type="dxa"/>
          </w:tcPr>
          <w:p w14:paraId="46F1C452">
            <w:pPr>
              <w:spacing w:line="360" w:lineRule="auto"/>
              <w:ind w:right="72"/>
            </w:pPr>
            <w:r>
              <w:rPr>
                <w:rFonts w:hint="eastAsia"/>
              </w:rPr>
              <w:t>均衡差额</w:t>
            </w:r>
          </w:p>
        </w:tc>
      </w:tr>
      <w:tr w14:paraId="6FF2E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tcPr>
          <w:p w14:paraId="1E0AB5A0">
            <w:pPr>
              <w:spacing w:line="360" w:lineRule="auto"/>
            </w:pPr>
            <w:r>
              <w:rPr>
                <w:rFonts w:hint="eastAsia"/>
              </w:rPr>
              <w:t>黄铜(Cu.Zn)</w:t>
            </w:r>
          </w:p>
        </w:tc>
        <w:tc>
          <w:tcPr>
            <w:tcW w:w="720" w:type="dxa"/>
          </w:tcPr>
          <w:p w14:paraId="1BE67F63">
            <w:pPr>
              <w:spacing w:line="360" w:lineRule="auto"/>
            </w:pPr>
          </w:p>
        </w:tc>
        <w:tc>
          <w:tcPr>
            <w:tcW w:w="720" w:type="dxa"/>
          </w:tcPr>
          <w:p w14:paraId="74B1BEA5">
            <w:pPr>
              <w:spacing w:line="360" w:lineRule="auto"/>
            </w:pPr>
          </w:p>
        </w:tc>
        <w:tc>
          <w:tcPr>
            <w:tcW w:w="720" w:type="dxa"/>
          </w:tcPr>
          <w:p w14:paraId="61EBBD4B">
            <w:pPr>
              <w:spacing w:line="360" w:lineRule="auto"/>
            </w:pPr>
          </w:p>
        </w:tc>
        <w:tc>
          <w:tcPr>
            <w:tcW w:w="720" w:type="dxa"/>
          </w:tcPr>
          <w:p w14:paraId="2BC9E21B">
            <w:pPr>
              <w:spacing w:line="360" w:lineRule="auto"/>
            </w:pPr>
            <w:r>
              <w:rPr>
                <w:rFonts w:hint="eastAsia"/>
              </w:rPr>
              <w:t xml:space="preserve"> 62</w:t>
            </w:r>
          </w:p>
        </w:tc>
        <w:tc>
          <w:tcPr>
            <w:tcW w:w="774" w:type="dxa"/>
          </w:tcPr>
          <w:p w14:paraId="7AF3E2F2">
            <w:pPr>
              <w:spacing w:line="360" w:lineRule="auto"/>
            </w:pPr>
          </w:p>
        </w:tc>
        <w:tc>
          <w:tcPr>
            <w:tcW w:w="774" w:type="dxa"/>
          </w:tcPr>
          <w:p w14:paraId="79566681">
            <w:pPr>
              <w:spacing w:line="360" w:lineRule="auto"/>
            </w:pPr>
          </w:p>
        </w:tc>
        <w:tc>
          <w:tcPr>
            <w:tcW w:w="774" w:type="dxa"/>
          </w:tcPr>
          <w:p w14:paraId="02A7682A">
            <w:pPr>
              <w:spacing w:line="360" w:lineRule="auto"/>
            </w:pPr>
          </w:p>
        </w:tc>
        <w:tc>
          <w:tcPr>
            <w:tcW w:w="774" w:type="dxa"/>
          </w:tcPr>
          <w:p w14:paraId="6B53CC20">
            <w:pPr>
              <w:spacing w:line="360" w:lineRule="auto"/>
            </w:pPr>
          </w:p>
        </w:tc>
        <w:tc>
          <w:tcPr>
            <w:tcW w:w="774" w:type="dxa"/>
          </w:tcPr>
          <w:p w14:paraId="08CAE2AA">
            <w:pPr>
              <w:spacing w:line="360" w:lineRule="auto"/>
            </w:pPr>
          </w:p>
        </w:tc>
        <w:tc>
          <w:tcPr>
            <w:tcW w:w="1170" w:type="dxa"/>
          </w:tcPr>
          <w:p w14:paraId="6A6641B0">
            <w:pPr>
              <w:spacing w:line="360" w:lineRule="auto"/>
            </w:pPr>
          </w:p>
        </w:tc>
      </w:tr>
      <w:tr w14:paraId="3A224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tcPr>
          <w:p w14:paraId="54232B13">
            <w:pPr>
              <w:spacing w:line="360" w:lineRule="auto"/>
            </w:pPr>
            <w:r>
              <w:rPr>
                <w:rFonts w:hint="eastAsia"/>
              </w:rPr>
              <w:t>铜</w:t>
            </w:r>
          </w:p>
        </w:tc>
        <w:tc>
          <w:tcPr>
            <w:tcW w:w="720" w:type="dxa"/>
          </w:tcPr>
          <w:p w14:paraId="643850D7">
            <w:pPr>
              <w:spacing w:line="360" w:lineRule="auto"/>
            </w:pPr>
          </w:p>
        </w:tc>
        <w:tc>
          <w:tcPr>
            <w:tcW w:w="720" w:type="dxa"/>
          </w:tcPr>
          <w:p w14:paraId="5F82393F">
            <w:pPr>
              <w:spacing w:line="360" w:lineRule="auto"/>
            </w:pPr>
          </w:p>
        </w:tc>
        <w:tc>
          <w:tcPr>
            <w:tcW w:w="720" w:type="dxa"/>
          </w:tcPr>
          <w:p w14:paraId="21DB0A5E">
            <w:pPr>
              <w:spacing w:line="360" w:lineRule="auto"/>
            </w:pPr>
          </w:p>
        </w:tc>
        <w:tc>
          <w:tcPr>
            <w:tcW w:w="720" w:type="dxa"/>
          </w:tcPr>
          <w:p w14:paraId="6B2981E0">
            <w:pPr>
              <w:spacing w:line="360" w:lineRule="auto"/>
            </w:pPr>
            <w:r>
              <w:rPr>
                <w:rFonts w:hint="eastAsia"/>
              </w:rPr>
              <w:t>99.4</w:t>
            </w:r>
          </w:p>
        </w:tc>
        <w:tc>
          <w:tcPr>
            <w:tcW w:w="774" w:type="dxa"/>
          </w:tcPr>
          <w:p w14:paraId="32686463">
            <w:pPr>
              <w:spacing w:line="360" w:lineRule="auto"/>
            </w:pPr>
          </w:p>
        </w:tc>
        <w:tc>
          <w:tcPr>
            <w:tcW w:w="774" w:type="dxa"/>
          </w:tcPr>
          <w:p w14:paraId="69E00719">
            <w:pPr>
              <w:spacing w:line="360" w:lineRule="auto"/>
            </w:pPr>
          </w:p>
        </w:tc>
        <w:tc>
          <w:tcPr>
            <w:tcW w:w="774" w:type="dxa"/>
          </w:tcPr>
          <w:p w14:paraId="527D41D1">
            <w:pPr>
              <w:spacing w:line="360" w:lineRule="auto"/>
            </w:pPr>
            <w:r>
              <w:rPr>
                <w:rFonts w:hint="eastAsia"/>
              </w:rPr>
              <w:t xml:space="preserve"> 0.2</w:t>
            </w:r>
          </w:p>
        </w:tc>
        <w:tc>
          <w:tcPr>
            <w:tcW w:w="774" w:type="dxa"/>
          </w:tcPr>
          <w:p w14:paraId="2A52D2CF">
            <w:pPr>
              <w:spacing w:line="360" w:lineRule="auto"/>
            </w:pPr>
            <w:r>
              <w:rPr>
                <w:rFonts w:hint="eastAsia"/>
              </w:rPr>
              <w:t xml:space="preserve"> 0.2</w:t>
            </w:r>
          </w:p>
        </w:tc>
        <w:tc>
          <w:tcPr>
            <w:tcW w:w="774" w:type="dxa"/>
          </w:tcPr>
          <w:p w14:paraId="466E078C">
            <w:pPr>
              <w:spacing w:line="360" w:lineRule="auto"/>
            </w:pPr>
          </w:p>
        </w:tc>
        <w:tc>
          <w:tcPr>
            <w:tcW w:w="1170" w:type="dxa"/>
          </w:tcPr>
          <w:p w14:paraId="0624501E">
            <w:pPr>
              <w:spacing w:line="360" w:lineRule="auto"/>
            </w:pPr>
          </w:p>
        </w:tc>
      </w:tr>
      <w:tr w14:paraId="2C9BD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tcPr>
          <w:p w14:paraId="4F61CE29">
            <w:pPr>
              <w:spacing w:line="360" w:lineRule="auto"/>
            </w:pPr>
            <w:r>
              <w:rPr>
                <w:rFonts w:hint="eastAsia"/>
              </w:rPr>
              <w:t>锡铅合金</w:t>
            </w:r>
          </w:p>
        </w:tc>
        <w:tc>
          <w:tcPr>
            <w:tcW w:w="720" w:type="dxa"/>
          </w:tcPr>
          <w:p w14:paraId="762EC7EB">
            <w:pPr>
              <w:spacing w:line="360" w:lineRule="auto"/>
            </w:pPr>
          </w:p>
        </w:tc>
        <w:tc>
          <w:tcPr>
            <w:tcW w:w="720" w:type="dxa"/>
          </w:tcPr>
          <w:p w14:paraId="7BB87815">
            <w:pPr>
              <w:spacing w:line="360" w:lineRule="auto"/>
            </w:pPr>
          </w:p>
        </w:tc>
        <w:tc>
          <w:tcPr>
            <w:tcW w:w="720" w:type="dxa"/>
          </w:tcPr>
          <w:p w14:paraId="6EE3A541">
            <w:pPr>
              <w:spacing w:line="360" w:lineRule="auto"/>
            </w:pPr>
          </w:p>
        </w:tc>
        <w:tc>
          <w:tcPr>
            <w:tcW w:w="720" w:type="dxa"/>
          </w:tcPr>
          <w:p w14:paraId="2E47908C">
            <w:pPr>
              <w:spacing w:line="360" w:lineRule="auto"/>
            </w:pPr>
          </w:p>
        </w:tc>
        <w:tc>
          <w:tcPr>
            <w:tcW w:w="774" w:type="dxa"/>
          </w:tcPr>
          <w:p w14:paraId="0A810DEC">
            <w:pPr>
              <w:spacing w:line="360" w:lineRule="auto"/>
            </w:pPr>
          </w:p>
        </w:tc>
        <w:tc>
          <w:tcPr>
            <w:tcW w:w="774" w:type="dxa"/>
          </w:tcPr>
          <w:p w14:paraId="13FFE004">
            <w:pPr>
              <w:spacing w:line="360" w:lineRule="auto"/>
            </w:pPr>
          </w:p>
        </w:tc>
        <w:tc>
          <w:tcPr>
            <w:tcW w:w="774" w:type="dxa"/>
          </w:tcPr>
          <w:p w14:paraId="5A41C5A7">
            <w:pPr>
              <w:spacing w:line="360" w:lineRule="auto"/>
            </w:pPr>
            <w:r>
              <w:rPr>
                <w:rFonts w:hint="eastAsia"/>
              </w:rPr>
              <w:t xml:space="preserve"> 0.5</w:t>
            </w:r>
          </w:p>
        </w:tc>
        <w:tc>
          <w:tcPr>
            <w:tcW w:w="774" w:type="dxa"/>
          </w:tcPr>
          <w:p w14:paraId="28488D75">
            <w:pPr>
              <w:spacing w:line="360" w:lineRule="auto"/>
            </w:pPr>
          </w:p>
        </w:tc>
        <w:tc>
          <w:tcPr>
            <w:tcW w:w="774" w:type="dxa"/>
          </w:tcPr>
          <w:p w14:paraId="026789AA">
            <w:pPr>
              <w:spacing w:line="360" w:lineRule="auto"/>
            </w:pPr>
            <w:r>
              <w:rPr>
                <w:rFonts w:hint="eastAsia"/>
              </w:rPr>
              <w:t xml:space="preserve"> 90</w:t>
            </w:r>
          </w:p>
        </w:tc>
        <w:tc>
          <w:tcPr>
            <w:tcW w:w="1170" w:type="dxa"/>
          </w:tcPr>
          <w:p w14:paraId="5918EF29">
            <w:pPr>
              <w:spacing w:line="360" w:lineRule="auto"/>
            </w:pPr>
          </w:p>
        </w:tc>
      </w:tr>
      <w:tr w14:paraId="29003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2088" w:type="dxa"/>
          </w:tcPr>
          <w:p w14:paraId="72BE2B77">
            <w:pPr>
              <w:spacing w:line="360" w:lineRule="auto"/>
            </w:pPr>
            <w:r>
              <w:rPr>
                <w:rFonts w:hint="eastAsia"/>
              </w:rPr>
              <w:t>合金</w:t>
            </w:r>
          </w:p>
          <w:p w14:paraId="049676C2">
            <w:pPr>
              <w:spacing w:line="360" w:lineRule="auto"/>
            </w:pPr>
            <w:r>
              <w:rPr>
                <w:rFonts w:hint="eastAsia"/>
                <w:sz w:val="18"/>
                <w:szCs w:val="18"/>
              </w:rPr>
              <w:t>注：仅指不与食物接触的配件。</w:t>
            </w:r>
          </w:p>
        </w:tc>
        <w:tc>
          <w:tcPr>
            <w:tcW w:w="720" w:type="dxa"/>
          </w:tcPr>
          <w:p w14:paraId="1B56B424">
            <w:pPr>
              <w:spacing w:line="360" w:lineRule="auto"/>
            </w:pPr>
          </w:p>
        </w:tc>
        <w:tc>
          <w:tcPr>
            <w:tcW w:w="720" w:type="dxa"/>
          </w:tcPr>
          <w:p w14:paraId="68497D60">
            <w:pPr>
              <w:spacing w:line="360" w:lineRule="auto"/>
            </w:pPr>
          </w:p>
        </w:tc>
        <w:tc>
          <w:tcPr>
            <w:tcW w:w="720" w:type="dxa"/>
          </w:tcPr>
          <w:p w14:paraId="665BC3D5">
            <w:pPr>
              <w:spacing w:line="360" w:lineRule="auto"/>
            </w:pPr>
          </w:p>
        </w:tc>
        <w:tc>
          <w:tcPr>
            <w:tcW w:w="720" w:type="dxa"/>
          </w:tcPr>
          <w:p w14:paraId="6974BB29">
            <w:pPr>
              <w:spacing w:line="360" w:lineRule="auto"/>
            </w:pPr>
          </w:p>
        </w:tc>
        <w:tc>
          <w:tcPr>
            <w:tcW w:w="774" w:type="dxa"/>
          </w:tcPr>
          <w:p w14:paraId="3E3D0C9B">
            <w:pPr>
              <w:spacing w:line="360" w:lineRule="auto"/>
            </w:pPr>
          </w:p>
        </w:tc>
        <w:tc>
          <w:tcPr>
            <w:tcW w:w="774" w:type="dxa"/>
          </w:tcPr>
          <w:p w14:paraId="471961B0">
            <w:pPr>
              <w:spacing w:line="360" w:lineRule="auto"/>
            </w:pPr>
          </w:p>
        </w:tc>
        <w:tc>
          <w:tcPr>
            <w:tcW w:w="774" w:type="dxa"/>
          </w:tcPr>
          <w:p w14:paraId="33C56C70">
            <w:pPr>
              <w:spacing w:line="360" w:lineRule="auto"/>
            </w:pPr>
            <w:r>
              <w:rPr>
                <w:rFonts w:hint="eastAsia"/>
              </w:rPr>
              <w:t xml:space="preserve"> 0.3</w:t>
            </w:r>
          </w:p>
        </w:tc>
        <w:tc>
          <w:tcPr>
            <w:tcW w:w="774" w:type="dxa"/>
          </w:tcPr>
          <w:p w14:paraId="37DDD3D0">
            <w:pPr>
              <w:spacing w:line="360" w:lineRule="auto"/>
            </w:pPr>
          </w:p>
        </w:tc>
        <w:tc>
          <w:tcPr>
            <w:tcW w:w="774" w:type="dxa"/>
          </w:tcPr>
          <w:p w14:paraId="5413A535">
            <w:pPr>
              <w:spacing w:line="360" w:lineRule="auto"/>
            </w:pPr>
          </w:p>
        </w:tc>
        <w:tc>
          <w:tcPr>
            <w:tcW w:w="1170" w:type="dxa"/>
          </w:tcPr>
          <w:p w14:paraId="10B5C982">
            <w:pPr>
              <w:spacing w:line="360" w:lineRule="auto"/>
            </w:pPr>
            <w:r>
              <w:rPr>
                <w:rFonts w:hint="eastAsia"/>
              </w:rPr>
              <w:t>均衡差额</w:t>
            </w:r>
          </w:p>
        </w:tc>
      </w:tr>
      <w:tr w14:paraId="54D71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008" w:type="dxa"/>
            <w:gridSpan w:val="11"/>
          </w:tcPr>
          <w:p w14:paraId="0986FE26">
            <w:pPr>
              <w:spacing w:line="360" w:lineRule="auto"/>
              <w:rPr>
                <w:sz w:val="18"/>
                <w:szCs w:val="18"/>
              </w:rPr>
            </w:pPr>
            <w:bookmarkStart w:id="58" w:name="_Hlk225772833"/>
            <w:r>
              <w:rPr>
                <w:rFonts w:hint="eastAsia"/>
                <w:sz w:val="18"/>
                <w:szCs w:val="18"/>
              </w:rPr>
              <w:t>1）更多化学成分信息见 EN 10088-1 标准。</w:t>
            </w:r>
          </w:p>
          <w:p w14:paraId="1AD0BC5E">
            <w:pPr>
              <w:spacing w:line="360" w:lineRule="auto"/>
            </w:pPr>
            <w:r>
              <w:rPr>
                <w:rFonts w:hint="eastAsia"/>
                <w:sz w:val="18"/>
                <w:szCs w:val="18"/>
              </w:rPr>
              <w:t>2）仅适用于不与食品接触的附件。</w:t>
            </w:r>
            <w:bookmarkEnd w:id="58"/>
          </w:p>
        </w:tc>
      </w:tr>
    </w:tbl>
    <w:p w14:paraId="5B8D7F7A">
      <w:pPr>
        <w:spacing w:line="360" w:lineRule="auto"/>
      </w:pPr>
    </w:p>
    <w:p w14:paraId="5E60423C">
      <w:pPr>
        <w:numPr>
          <w:ilvl w:val="0"/>
          <w:numId w:val="35"/>
        </w:numPr>
        <w:adjustRightInd/>
        <w:spacing w:line="360" w:lineRule="auto"/>
        <w:rPr>
          <w:rFonts w:hint="eastAsia" w:ascii="黑体" w:hAnsi="黑体" w:eastAsia="黑体"/>
        </w:rPr>
      </w:pPr>
      <w:r>
        <w:rPr>
          <w:rFonts w:hint="eastAsia" w:ascii="黑体" w:hAnsi="黑体" w:eastAsia="黑体"/>
        </w:rPr>
        <w:t>结构</w:t>
      </w:r>
    </w:p>
    <w:p w14:paraId="2DD9EC9D">
      <w:pPr>
        <w:numPr>
          <w:ilvl w:val="1"/>
          <w:numId w:val="35"/>
        </w:numPr>
        <w:adjustRightInd/>
        <w:spacing w:line="360" w:lineRule="auto"/>
        <w:rPr>
          <w:rFonts w:hint="eastAsia" w:ascii="黑体" w:hAnsi="黑体" w:eastAsia="黑体"/>
        </w:rPr>
      </w:pPr>
      <w:r>
        <w:rPr>
          <w:rFonts w:hint="eastAsia" w:ascii="黑体" w:hAnsi="黑体" w:eastAsia="黑体"/>
        </w:rPr>
        <w:t xml:space="preserve">  镀银</w:t>
      </w:r>
    </w:p>
    <w:p w14:paraId="1C56FD55">
      <w:pPr>
        <w:numPr>
          <w:ilvl w:val="2"/>
          <w:numId w:val="35"/>
        </w:numPr>
        <w:adjustRightInd/>
        <w:spacing w:line="360" w:lineRule="auto"/>
      </w:pPr>
      <w:r>
        <w:rPr>
          <w:rFonts w:hint="eastAsia"/>
        </w:rPr>
        <w:t xml:space="preserve"> 总则</w:t>
      </w:r>
    </w:p>
    <w:p w14:paraId="5041657E">
      <w:pPr>
        <w:spacing w:line="360" w:lineRule="auto"/>
        <w:ind w:firstLine="420" w:firstLineChars="200"/>
      </w:pPr>
      <w:r>
        <w:rPr>
          <w:rFonts w:hint="eastAsia"/>
        </w:rPr>
        <w:t>5.1.2和5.1.3中</w:t>
      </w:r>
      <w:r>
        <w:t>规定</w:t>
      </w:r>
      <w:r>
        <w:rPr>
          <w:rFonts w:hint="eastAsia"/>
        </w:rPr>
        <w:t>的</w:t>
      </w:r>
      <w:r>
        <w:t>银镀层最小厚度要求，不适用于以下部位的内表面：壶嘴、烛台，或任何带有狭窄棱纹的容器内部。</w:t>
      </w:r>
    </w:p>
    <w:p w14:paraId="77DF74C7">
      <w:pPr>
        <w:numPr>
          <w:ilvl w:val="2"/>
          <w:numId w:val="35"/>
        </w:numPr>
        <w:adjustRightInd/>
        <w:spacing w:line="360" w:lineRule="auto"/>
      </w:pPr>
      <w:r>
        <w:rPr>
          <w:rFonts w:hint="eastAsia"/>
        </w:rPr>
        <w:t>平均厚度</w:t>
      </w:r>
    </w:p>
    <w:p w14:paraId="528FE69C">
      <w:pPr>
        <w:spacing w:line="360" w:lineRule="auto"/>
        <w:ind w:left="480"/>
        <w:jc w:val="left"/>
      </w:pPr>
      <w:r>
        <w:rPr>
          <w:rFonts w:hint="eastAsia"/>
        </w:rPr>
        <w:t>按照 EN ISO 8442-2:1997 标准附录 A（镀层质量）和附录 B（镀层面积）中所述方法进行测量时，每件成品对应表面的银镀层平均厚度不得低于表 2 中规定的数值。</w:t>
      </w:r>
    </w:p>
    <w:p w14:paraId="758ED34C">
      <w:pPr>
        <w:spacing w:line="360" w:lineRule="auto"/>
        <w:ind w:left="480"/>
      </w:pPr>
      <w:r>
        <w:rPr>
          <w:rFonts w:hint="eastAsia"/>
        </w:rPr>
        <w:t>注：对于日常质量控制而言，只要所采用的技术能被证明可得到与规定方法等效的结果，即可通</w:t>
      </w:r>
    </w:p>
    <w:p w14:paraId="034D08A5">
      <w:pPr>
        <w:spacing w:line="360" w:lineRule="auto"/>
      </w:pPr>
      <w:r>
        <w:rPr>
          <w:rFonts w:hint="eastAsia"/>
        </w:rPr>
        <w:t>过非破坏性技术（如电镀前后称重）或对具有统计意义数量的局部厚度进行测量来确定平均厚度。</w:t>
      </w:r>
    </w:p>
    <w:p w14:paraId="3D514323">
      <w:pPr>
        <w:numPr>
          <w:ilvl w:val="2"/>
          <w:numId w:val="35"/>
        </w:numPr>
        <w:adjustRightInd/>
        <w:spacing w:line="360" w:lineRule="auto"/>
      </w:pPr>
      <w:r>
        <w:rPr>
          <w:rFonts w:hint="eastAsia"/>
        </w:rPr>
        <w:t>局部厚度</w:t>
      </w:r>
    </w:p>
    <w:p w14:paraId="71895B19">
      <w:pPr>
        <w:spacing w:line="360" w:lineRule="auto"/>
        <w:ind w:left="480"/>
      </w:pPr>
      <w:r>
        <w:rPr>
          <w:rFonts w:hint="eastAsia"/>
        </w:rPr>
        <w:t>功能表面与非功能表面（见 EN ISO 8442-2:1997 附录 A）上银镀层的最小局部厚度，不得低于该</w:t>
      </w:r>
    </w:p>
    <w:p w14:paraId="3D78C691">
      <w:pPr>
        <w:spacing w:line="360" w:lineRule="auto"/>
      </w:pPr>
      <w:r>
        <w:rPr>
          <w:rFonts w:hint="eastAsia"/>
        </w:rPr>
        <w:t>制品平均厚度的 60%。</w:t>
      </w:r>
      <w:bookmarkStart w:id="59" w:name="_Hlk225772977"/>
      <w:r>
        <w:rPr>
          <w:rFonts w:hint="eastAsia"/>
        </w:rPr>
        <w:t>最小局部厚度应按照GB/T 4955,GB/T6462,GB/T16921或者GB/T 20018中规定的任一方法进行测量。若存在争议，厚度应按照GB/T6462中所述方法进行测量。</w:t>
      </w:r>
      <w:bookmarkEnd w:id="59"/>
    </w:p>
    <w:p w14:paraId="5D668583">
      <w:pPr>
        <w:spacing w:line="360" w:lineRule="auto"/>
        <w:jc w:val="center"/>
      </w:pPr>
      <w:r>
        <w:rPr>
          <w:rFonts w:hint="eastAsia"/>
        </w:rPr>
        <w:t>表2  镀银层的平均厚度</w:t>
      </w:r>
    </w:p>
    <w:tbl>
      <w:tblPr>
        <w:tblStyle w:val="26"/>
        <w:tblpPr w:leftFromText="180" w:rightFromText="180" w:vertAnchor="text" w:horzAnchor="page" w:tblpX="2883" w:tblpY="17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720"/>
        <w:gridCol w:w="1800"/>
        <w:gridCol w:w="1440"/>
        <w:gridCol w:w="1440"/>
      </w:tblGrid>
      <w:tr w14:paraId="26CE2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restart"/>
            <w:vAlign w:val="center"/>
          </w:tcPr>
          <w:p w14:paraId="411CCE74">
            <w:pPr>
              <w:spacing w:line="360" w:lineRule="auto"/>
            </w:pPr>
            <w:r>
              <w:rPr>
                <w:rFonts w:hint="eastAsia"/>
              </w:rPr>
              <w:t xml:space="preserve">  等级</w:t>
            </w:r>
          </w:p>
        </w:tc>
        <w:tc>
          <w:tcPr>
            <w:tcW w:w="720" w:type="dxa"/>
            <w:vMerge w:val="restart"/>
            <w:vAlign w:val="center"/>
          </w:tcPr>
          <w:p w14:paraId="09290625">
            <w:pPr>
              <w:spacing w:line="360" w:lineRule="auto"/>
            </w:pPr>
            <w:r>
              <w:rPr>
                <w:rFonts w:hint="eastAsia"/>
              </w:rPr>
              <w:t>符号</w:t>
            </w:r>
          </w:p>
        </w:tc>
        <w:tc>
          <w:tcPr>
            <w:tcW w:w="1800" w:type="dxa"/>
            <w:vMerge w:val="restart"/>
            <w:vAlign w:val="center"/>
          </w:tcPr>
          <w:p w14:paraId="05DD704B">
            <w:pPr>
              <w:spacing w:line="360" w:lineRule="auto"/>
            </w:pPr>
            <w:r>
              <w:rPr>
                <w:rFonts w:hint="eastAsia"/>
              </w:rPr>
              <w:t>凹型器皿的类型</w:t>
            </w:r>
          </w:p>
        </w:tc>
        <w:tc>
          <w:tcPr>
            <w:tcW w:w="2880" w:type="dxa"/>
            <w:gridSpan w:val="2"/>
            <w:vAlign w:val="center"/>
          </w:tcPr>
          <w:p w14:paraId="1B299F3A">
            <w:pPr>
              <w:spacing w:line="360" w:lineRule="auto"/>
            </w:pPr>
            <w:r>
              <w:rPr>
                <w:rFonts w:hint="eastAsia"/>
              </w:rPr>
              <w:t xml:space="preserve">       最小平均厚度</w:t>
            </w:r>
          </w:p>
        </w:tc>
      </w:tr>
      <w:tr w14:paraId="0D39F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vAlign w:val="center"/>
          </w:tcPr>
          <w:p w14:paraId="4EB30D50">
            <w:pPr>
              <w:spacing w:line="360" w:lineRule="auto"/>
            </w:pPr>
          </w:p>
        </w:tc>
        <w:tc>
          <w:tcPr>
            <w:tcW w:w="720" w:type="dxa"/>
            <w:vMerge w:val="continue"/>
            <w:vAlign w:val="center"/>
          </w:tcPr>
          <w:p w14:paraId="4612A328">
            <w:pPr>
              <w:spacing w:line="360" w:lineRule="auto"/>
            </w:pPr>
          </w:p>
        </w:tc>
        <w:tc>
          <w:tcPr>
            <w:tcW w:w="1800" w:type="dxa"/>
            <w:vMerge w:val="continue"/>
            <w:vAlign w:val="center"/>
          </w:tcPr>
          <w:p w14:paraId="540A215A">
            <w:pPr>
              <w:spacing w:line="360" w:lineRule="auto"/>
            </w:pPr>
          </w:p>
        </w:tc>
        <w:tc>
          <w:tcPr>
            <w:tcW w:w="1440" w:type="dxa"/>
            <w:vAlign w:val="center"/>
          </w:tcPr>
          <w:p w14:paraId="23AE6226">
            <w:pPr>
              <w:spacing w:line="360" w:lineRule="auto"/>
            </w:pPr>
            <w:r>
              <w:rPr>
                <w:rFonts w:hint="eastAsia"/>
              </w:rPr>
              <w:t xml:space="preserve">  功能表面</w:t>
            </w:r>
          </w:p>
        </w:tc>
        <w:tc>
          <w:tcPr>
            <w:tcW w:w="1440" w:type="dxa"/>
          </w:tcPr>
          <w:p w14:paraId="73F80738">
            <w:pPr>
              <w:spacing w:line="360" w:lineRule="auto"/>
            </w:pPr>
            <w:r>
              <w:rPr>
                <w:rFonts w:hint="eastAsia"/>
              </w:rPr>
              <w:t xml:space="preserve"> 非功能表面</w:t>
            </w:r>
          </w:p>
        </w:tc>
      </w:tr>
      <w:tr w14:paraId="5B97D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2E3FCD2">
            <w:pPr>
              <w:spacing w:line="360" w:lineRule="auto"/>
            </w:pPr>
            <w:r>
              <w:rPr>
                <w:rFonts w:hint="eastAsia"/>
              </w:rPr>
              <w:t xml:space="preserve">  一级</w:t>
            </w:r>
          </w:p>
        </w:tc>
        <w:tc>
          <w:tcPr>
            <w:tcW w:w="720" w:type="dxa"/>
            <w:vAlign w:val="center"/>
          </w:tcPr>
          <w:p w14:paraId="7F66AD7F">
            <w:pPr>
              <w:spacing w:line="360" w:lineRule="auto"/>
            </w:pPr>
            <w:r>
              <w:rPr>
                <w:rFonts w:hint="eastAsia"/>
              </w:rPr>
              <w:t xml:space="preserve"> </w:t>
            </w:r>
            <w:r>
              <w:rPr>
                <w:rFonts w:hint="eastAsia" w:ascii="宋体"/>
              </w:rPr>
              <w:t>Ⅰ</w:t>
            </w:r>
          </w:p>
        </w:tc>
        <w:tc>
          <w:tcPr>
            <w:tcW w:w="1800" w:type="dxa"/>
          </w:tcPr>
          <w:p w14:paraId="211ADD99">
            <w:pPr>
              <w:spacing w:line="360" w:lineRule="auto"/>
            </w:pPr>
            <w:r>
              <w:rPr>
                <w:rFonts w:hint="eastAsia"/>
              </w:rPr>
              <w:t>餐桌用器皿</w:t>
            </w:r>
          </w:p>
          <w:p w14:paraId="1EB3F5C0">
            <w:pPr>
              <w:spacing w:line="360" w:lineRule="auto"/>
            </w:pPr>
            <w:r>
              <w:rPr>
                <w:rFonts w:hint="eastAsia"/>
              </w:rPr>
              <w:t>装饰用器皿</w:t>
            </w:r>
          </w:p>
        </w:tc>
        <w:tc>
          <w:tcPr>
            <w:tcW w:w="1440" w:type="dxa"/>
          </w:tcPr>
          <w:p w14:paraId="78E77EF1">
            <w:pPr>
              <w:spacing w:line="360" w:lineRule="auto"/>
            </w:pPr>
            <w:r>
              <w:rPr>
                <w:rFonts w:hint="eastAsia"/>
              </w:rPr>
              <w:t xml:space="preserve">   15</w:t>
            </w:r>
            <w:r>
              <w:rPr>
                <w:rFonts w:hint="eastAsia" w:ascii="宋体"/>
              </w:rPr>
              <w:t>μ</w:t>
            </w:r>
            <w:r>
              <w:rPr>
                <w:rFonts w:hint="eastAsia"/>
              </w:rPr>
              <w:t>m</w:t>
            </w:r>
          </w:p>
          <w:p w14:paraId="63FDEC98">
            <w:pPr>
              <w:spacing w:line="360" w:lineRule="auto"/>
            </w:pPr>
            <w:r>
              <w:rPr>
                <w:rFonts w:hint="eastAsia"/>
              </w:rPr>
              <w:t xml:space="preserve">   10</w:t>
            </w:r>
            <w:r>
              <w:rPr>
                <w:rFonts w:hint="eastAsia" w:ascii="宋体"/>
              </w:rPr>
              <w:t>μ</w:t>
            </w:r>
            <w:r>
              <w:rPr>
                <w:rFonts w:hint="eastAsia"/>
              </w:rPr>
              <w:t>m</w:t>
            </w:r>
          </w:p>
        </w:tc>
        <w:tc>
          <w:tcPr>
            <w:tcW w:w="1440" w:type="dxa"/>
          </w:tcPr>
          <w:p w14:paraId="1F6A659A">
            <w:pPr>
              <w:spacing w:line="360" w:lineRule="auto"/>
            </w:pPr>
            <w:r>
              <w:rPr>
                <w:rFonts w:hint="eastAsia"/>
              </w:rPr>
              <w:t xml:space="preserve">   3</w:t>
            </w:r>
            <w:r>
              <w:rPr>
                <w:rFonts w:hint="eastAsia" w:ascii="宋体"/>
              </w:rPr>
              <w:t>μ</w:t>
            </w:r>
            <w:r>
              <w:rPr>
                <w:rFonts w:hint="eastAsia"/>
              </w:rPr>
              <w:t>m</w:t>
            </w:r>
          </w:p>
          <w:p w14:paraId="4FC88B61">
            <w:pPr>
              <w:spacing w:line="360" w:lineRule="auto"/>
            </w:pPr>
            <w:r>
              <w:rPr>
                <w:rFonts w:hint="eastAsia"/>
              </w:rPr>
              <w:t xml:space="preserve">   3</w:t>
            </w:r>
            <w:r>
              <w:rPr>
                <w:rFonts w:hint="eastAsia" w:ascii="宋体"/>
              </w:rPr>
              <w:t>μ</w:t>
            </w:r>
            <w:r>
              <w:rPr>
                <w:rFonts w:hint="eastAsia"/>
              </w:rPr>
              <w:t>m</w:t>
            </w:r>
          </w:p>
        </w:tc>
      </w:tr>
      <w:tr w14:paraId="4D21C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B4D7C02">
            <w:pPr>
              <w:spacing w:line="360" w:lineRule="auto"/>
            </w:pPr>
            <w:r>
              <w:rPr>
                <w:rFonts w:hint="eastAsia"/>
              </w:rPr>
              <w:t xml:space="preserve">  二级</w:t>
            </w:r>
          </w:p>
        </w:tc>
        <w:tc>
          <w:tcPr>
            <w:tcW w:w="720" w:type="dxa"/>
            <w:vAlign w:val="center"/>
          </w:tcPr>
          <w:p w14:paraId="169B3903">
            <w:pPr>
              <w:spacing w:line="360" w:lineRule="auto"/>
            </w:pPr>
            <w:r>
              <w:rPr>
                <w:rFonts w:hint="eastAsia"/>
              </w:rPr>
              <w:t xml:space="preserve"> </w:t>
            </w:r>
            <w:r>
              <w:rPr>
                <w:rFonts w:hint="eastAsia" w:ascii="宋体"/>
              </w:rPr>
              <w:t>Ⅱ</w:t>
            </w:r>
          </w:p>
        </w:tc>
        <w:tc>
          <w:tcPr>
            <w:tcW w:w="1800" w:type="dxa"/>
          </w:tcPr>
          <w:p w14:paraId="5BE6EB4D">
            <w:pPr>
              <w:spacing w:line="360" w:lineRule="auto"/>
            </w:pPr>
            <w:r>
              <w:rPr>
                <w:rFonts w:hint="eastAsia"/>
              </w:rPr>
              <w:t>餐桌用器皿</w:t>
            </w:r>
          </w:p>
          <w:p w14:paraId="44DDC030">
            <w:pPr>
              <w:spacing w:line="360" w:lineRule="auto"/>
            </w:pPr>
            <w:r>
              <w:rPr>
                <w:rFonts w:hint="eastAsia"/>
              </w:rPr>
              <w:t>装饰用器皿</w:t>
            </w:r>
          </w:p>
        </w:tc>
        <w:tc>
          <w:tcPr>
            <w:tcW w:w="1440" w:type="dxa"/>
          </w:tcPr>
          <w:p w14:paraId="0A22DBC4">
            <w:pPr>
              <w:spacing w:line="360" w:lineRule="auto"/>
            </w:pPr>
            <w:r>
              <w:rPr>
                <w:rFonts w:hint="eastAsia"/>
              </w:rPr>
              <w:t xml:space="preserve">   9</w:t>
            </w:r>
            <w:r>
              <w:rPr>
                <w:rFonts w:hint="eastAsia" w:ascii="宋体"/>
              </w:rPr>
              <w:t>μ</w:t>
            </w:r>
            <w:r>
              <w:rPr>
                <w:rFonts w:hint="eastAsia"/>
              </w:rPr>
              <w:t>m</w:t>
            </w:r>
          </w:p>
          <w:p w14:paraId="76559803">
            <w:pPr>
              <w:spacing w:line="360" w:lineRule="auto"/>
            </w:pPr>
            <w:r>
              <w:rPr>
                <w:rFonts w:hint="eastAsia"/>
              </w:rPr>
              <w:t xml:space="preserve">   6</w:t>
            </w:r>
            <w:r>
              <w:rPr>
                <w:rFonts w:hint="eastAsia" w:ascii="宋体"/>
              </w:rPr>
              <w:t>μ</w:t>
            </w:r>
            <w:r>
              <w:rPr>
                <w:rFonts w:hint="eastAsia"/>
              </w:rPr>
              <w:t>m</w:t>
            </w:r>
          </w:p>
        </w:tc>
        <w:tc>
          <w:tcPr>
            <w:tcW w:w="1440" w:type="dxa"/>
          </w:tcPr>
          <w:p w14:paraId="4CB59291">
            <w:pPr>
              <w:spacing w:line="360" w:lineRule="auto"/>
            </w:pPr>
            <w:r>
              <w:rPr>
                <w:rFonts w:hint="eastAsia"/>
              </w:rPr>
              <w:t xml:space="preserve">   2</w:t>
            </w:r>
            <w:r>
              <w:rPr>
                <w:rFonts w:hint="eastAsia" w:ascii="宋体"/>
              </w:rPr>
              <w:t>μ</w:t>
            </w:r>
            <w:r>
              <w:rPr>
                <w:rFonts w:hint="eastAsia"/>
              </w:rPr>
              <w:t>m</w:t>
            </w:r>
          </w:p>
          <w:p w14:paraId="6CC498AB">
            <w:pPr>
              <w:spacing w:line="360" w:lineRule="auto"/>
            </w:pPr>
            <w:r>
              <w:rPr>
                <w:rFonts w:hint="eastAsia"/>
              </w:rPr>
              <w:t xml:space="preserve">   2</w:t>
            </w:r>
            <w:r>
              <w:rPr>
                <w:rFonts w:hint="eastAsia" w:ascii="宋体"/>
              </w:rPr>
              <w:t>μ</w:t>
            </w:r>
            <w:r>
              <w:rPr>
                <w:rFonts w:hint="eastAsia"/>
              </w:rPr>
              <w:t>m</w:t>
            </w:r>
          </w:p>
        </w:tc>
      </w:tr>
      <w:tr w14:paraId="247D5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444330B">
            <w:pPr>
              <w:spacing w:line="360" w:lineRule="auto"/>
            </w:pPr>
            <w:r>
              <w:rPr>
                <w:rFonts w:hint="eastAsia"/>
              </w:rPr>
              <w:t xml:space="preserve">  三级</w:t>
            </w:r>
          </w:p>
        </w:tc>
        <w:tc>
          <w:tcPr>
            <w:tcW w:w="720" w:type="dxa"/>
            <w:vAlign w:val="center"/>
          </w:tcPr>
          <w:p w14:paraId="6767045C">
            <w:pPr>
              <w:spacing w:line="360" w:lineRule="auto"/>
            </w:pPr>
            <w:r>
              <w:rPr>
                <w:rFonts w:hint="eastAsia"/>
              </w:rPr>
              <w:t xml:space="preserve"> </w:t>
            </w:r>
            <w:r>
              <w:rPr>
                <w:rFonts w:hint="eastAsia" w:ascii="宋体"/>
              </w:rPr>
              <w:t>Ⅲ</w:t>
            </w:r>
          </w:p>
        </w:tc>
        <w:tc>
          <w:tcPr>
            <w:tcW w:w="1800" w:type="dxa"/>
          </w:tcPr>
          <w:p w14:paraId="761F35AE">
            <w:pPr>
              <w:spacing w:line="360" w:lineRule="auto"/>
            </w:pPr>
            <w:r>
              <w:rPr>
                <w:rFonts w:hint="eastAsia"/>
              </w:rPr>
              <w:t>餐桌用器皿</w:t>
            </w:r>
          </w:p>
          <w:p w14:paraId="265B4282">
            <w:pPr>
              <w:spacing w:line="360" w:lineRule="auto"/>
            </w:pPr>
            <w:r>
              <w:rPr>
                <w:rFonts w:hint="eastAsia"/>
              </w:rPr>
              <w:t>装饰用器皿</w:t>
            </w:r>
          </w:p>
        </w:tc>
        <w:tc>
          <w:tcPr>
            <w:tcW w:w="1440" w:type="dxa"/>
          </w:tcPr>
          <w:p w14:paraId="16133717">
            <w:pPr>
              <w:spacing w:line="360" w:lineRule="auto"/>
            </w:pPr>
            <w:r>
              <w:rPr>
                <w:rFonts w:hint="eastAsia"/>
              </w:rPr>
              <w:t xml:space="preserve">   5</w:t>
            </w:r>
            <w:r>
              <w:rPr>
                <w:rFonts w:hint="eastAsia" w:ascii="宋体"/>
              </w:rPr>
              <w:t>μ</w:t>
            </w:r>
            <w:r>
              <w:rPr>
                <w:rFonts w:hint="eastAsia"/>
              </w:rPr>
              <w:t>m</w:t>
            </w:r>
          </w:p>
          <w:p w14:paraId="7A353A3B">
            <w:pPr>
              <w:spacing w:line="360" w:lineRule="auto"/>
            </w:pPr>
            <w:r>
              <w:rPr>
                <w:rFonts w:hint="eastAsia"/>
              </w:rPr>
              <w:t xml:space="preserve">   3</w:t>
            </w:r>
            <w:r>
              <w:rPr>
                <w:rFonts w:hint="eastAsia" w:ascii="宋体"/>
              </w:rPr>
              <w:t>μ</w:t>
            </w:r>
            <w:r>
              <w:rPr>
                <w:rFonts w:hint="eastAsia"/>
              </w:rPr>
              <w:t>m</w:t>
            </w:r>
          </w:p>
        </w:tc>
        <w:tc>
          <w:tcPr>
            <w:tcW w:w="1440" w:type="dxa"/>
          </w:tcPr>
          <w:p w14:paraId="6707D135">
            <w:pPr>
              <w:spacing w:line="360" w:lineRule="auto"/>
            </w:pPr>
            <w:r>
              <w:rPr>
                <w:rFonts w:hint="eastAsia"/>
              </w:rPr>
              <w:t xml:space="preserve">   2</w:t>
            </w:r>
            <w:r>
              <w:rPr>
                <w:rFonts w:hint="eastAsia" w:ascii="宋体"/>
              </w:rPr>
              <w:t>μ</w:t>
            </w:r>
            <w:r>
              <w:rPr>
                <w:rFonts w:hint="eastAsia"/>
              </w:rPr>
              <w:t>m</w:t>
            </w:r>
          </w:p>
          <w:p w14:paraId="31F1CE1F">
            <w:pPr>
              <w:spacing w:line="360" w:lineRule="auto"/>
            </w:pPr>
            <w:r>
              <w:rPr>
                <w:rFonts w:hint="eastAsia"/>
              </w:rPr>
              <w:t xml:space="preserve">   2</w:t>
            </w:r>
            <w:r>
              <w:rPr>
                <w:rFonts w:hint="eastAsia" w:ascii="宋体"/>
              </w:rPr>
              <w:t>μ</w:t>
            </w:r>
            <w:r>
              <w:rPr>
                <w:rFonts w:hint="eastAsia"/>
              </w:rPr>
              <w:t>m</w:t>
            </w:r>
          </w:p>
        </w:tc>
      </w:tr>
    </w:tbl>
    <w:p w14:paraId="784D6B92">
      <w:pPr>
        <w:spacing w:line="360" w:lineRule="auto"/>
      </w:pPr>
    </w:p>
    <w:p w14:paraId="4D24AFAF">
      <w:pPr>
        <w:spacing w:line="360" w:lineRule="auto"/>
      </w:pPr>
    </w:p>
    <w:p w14:paraId="137498EE">
      <w:pPr>
        <w:spacing w:line="360" w:lineRule="auto"/>
      </w:pPr>
    </w:p>
    <w:p w14:paraId="7B1B9974">
      <w:pPr>
        <w:spacing w:line="360" w:lineRule="auto"/>
      </w:pPr>
      <w:r>
        <w:rPr>
          <w:rFonts w:hint="eastAsia"/>
        </w:rPr>
        <w:t>。</w:t>
      </w:r>
    </w:p>
    <w:p w14:paraId="6CDB03C7">
      <w:pPr>
        <w:spacing w:line="360" w:lineRule="auto"/>
      </w:pPr>
    </w:p>
    <w:p w14:paraId="292CE740">
      <w:pPr>
        <w:spacing w:line="360" w:lineRule="auto"/>
      </w:pPr>
    </w:p>
    <w:p w14:paraId="3AB042C4">
      <w:pPr>
        <w:spacing w:line="360" w:lineRule="auto"/>
      </w:pPr>
    </w:p>
    <w:p w14:paraId="16FE1BBE">
      <w:pPr>
        <w:spacing w:line="360" w:lineRule="auto"/>
      </w:pPr>
    </w:p>
    <w:p w14:paraId="2D7B06E4">
      <w:pPr>
        <w:spacing w:line="360" w:lineRule="auto"/>
      </w:pPr>
    </w:p>
    <w:p w14:paraId="63C41B83">
      <w:pPr>
        <w:spacing w:line="360" w:lineRule="auto"/>
      </w:pPr>
    </w:p>
    <w:p w14:paraId="756063C0">
      <w:pPr>
        <w:spacing w:line="360" w:lineRule="auto"/>
      </w:pPr>
    </w:p>
    <w:p w14:paraId="0DDFC3ED">
      <w:pPr>
        <w:numPr>
          <w:ilvl w:val="1"/>
          <w:numId w:val="35"/>
        </w:numPr>
        <w:adjustRightInd/>
        <w:spacing w:line="360" w:lineRule="auto"/>
        <w:rPr>
          <w:rFonts w:hint="eastAsia" w:ascii="黑体" w:hAnsi="黑体" w:eastAsia="黑体"/>
        </w:rPr>
      </w:pPr>
      <w:r>
        <w:rPr>
          <w:rFonts w:hint="eastAsia" w:ascii="黑体" w:hAnsi="黑体" w:eastAsia="黑体"/>
        </w:rPr>
        <w:t xml:space="preserve"> 通用性要求及应避免缺陷</w:t>
      </w:r>
    </w:p>
    <w:p w14:paraId="5C6C0249">
      <w:pPr>
        <w:numPr>
          <w:ilvl w:val="2"/>
          <w:numId w:val="35"/>
        </w:numPr>
        <w:adjustRightInd/>
        <w:spacing w:line="360" w:lineRule="auto"/>
      </w:pPr>
      <w:r>
        <w:rPr>
          <w:rFonts w:hint="eastAsia"/>
        </w:rPr>
        <w:t xml:space="preserve"> 所有表面均不应有破损和其它缺陷。</w:t>
      </w:r>
    </w:p>
    <w:p w14:paraId="36A08449">
      <w:pPr>
        <w:numPr>
          <w:ilvl w:val="2"/>
          <w:numId w:val="35"/>
        </w:numPr>
        <w:adjustRightInd/>
        <w:spacing w:line="360" w:lineRule="auto"/>
      </w:pPr>
      <w:r>
        <w:rPr>
          <w:rFonts w:hint="eastAsia"/>
        </w:rPr>
        <w:t xml:space="preserve"> 所有可接触边缘应光滑无毛刺</w:t>
      </w:r>
    </w:p>
    <w:p w14:paraId="46FFAF39">
      <w:pPr>
        <w:numPr>
          <w:ilvl w:val="2"/>
          <w:numId w:val="35"/>
        </w:numPr>
        <w:adjustRightInd/>
        <w:spacing w:line="360" w:lineRule="auto"/>
      </w:pPr>
      <w:r>
        <w:rPr>
          <w:rFonts w:hint="eastAsia"/>
        </w:rPr>
        <w:t xml:space="preserve"> </w:t>
      </w:r>
      <w:bookmarkStart w:id="60" w:name="_Hlk225773237"/>
      <w:r>
        <w:rPr>
          <w:rFonts w:hint="eastAsia"/>
        </w:rPr>
        <w:t>组件之间的间隙不应超过0.4mm</w:t>
      </w:r>
      <w:bookmarkStart w:id="61" w:name="_Hlk224226194"/>
      <w:r>
        <w:rPr>
          <w:rFonts w:hint="eastAsia"/>
        </w:rPr>
        <w:t>；</w:t>
      </w:r>
      <w:bookmarkStart w:id="62" w:name="OLE_LINK1"/>
      <w:r>
        <w:rPr>
          <w:rFonts w:hint="eastAsia"/>
        </w:rPr>
        <w:t>与空心结构的连接处应密封</w:t>
      </w:r>
      <w:bookmarkEnd w:id="62"/>
      <w:r>
        <w:rPr>
          <w:rFonts w:hint="eastAsia"/>
        </w:rPr>
        <w:t>不渗水，除非有特殊要求。</w:t>
      </w:r>
      <w:bookmarkEnd w:id="60"/>
      <w:bookmarkEnd w:id="61"/>
    </w:p>
    <w:p w14:paraId="59F1FB37">
      <w:pPr>
        <w:numPr>
          <w:ilvl w:val="2"/>
          <w:numId w:val="35"/>
        </w:numPr>
        <w:adjustRightInd/>
        <w:spacing w:line="360" w:lineRule="auto"/>
      </w:pPr>
      <w:r>
        <w:rPr>
          <w:rFonts w:hint="eastAsia"/>
        </w:rPr>
        <w:t xml:space="preserve"> 5.2.1到5.2.3要求应由手感或正常矫正视力检验。5.2.3条款用相应厚度的塞尺检验。</w:t>
      </w:r>
    </w:p>
    <w:p w14:paraId="333F6132">
      <w:pPr>
        <w:numPr>
          <w:ilvl w:val="1"/>
          <w:numId w:val="35"/>
        </w:numPr>
        <w:adjustRightInd/>
        <w:spacing w:line="360" w:lineRule="auto"/>
        <w:rPr>
          <w:rFonts w:hint="eastAsia" w:ascii="黑体" w:hAnsi="黑体" w:eastAsia="黑体"/>
        </w:rPr>
      </w:pPr>
      <w:r>
        <w:rPr>
          <w:rFonts w:hint="eastAsia" w:ascii="黑体" w:hAnsi="黑体" w:eastAsia="黑体"/>
        </w:rPr>
        <w:t xml:space="preserve">  喷漆产品</w:t>
      </w:r>
    </w:p>
    <w:p w14:paraId="21808A71">
      <w:pPr>
        <w:adjustRightInd/>
        <w:spacing w:line="360" w:lineRule="auto"/>
        <w:ind w:firstLine="630" w:firstLineChars="300"/>
        <w:rPr>
          <w:rFonts w:hint="eastAsia" w:ascii="黑体" w:hAnsi="黑体" w:eastAsia="黑体"/>
        </w:rPr>
      </w:pPr>
      <w:r>
        <w:rPr>
          <w:rFonts w:hint="eastAsia"/>
        </w:rPr>
        <w:t>注：若涂覆清漆，需注意现行食品接触相关法规。</w:t>
      </w:r>
    </w:p>
    <w:p w14:paraId="5B4BCB45">
      <w:pPr>
        <w:numPr>
          <w:ilvl w:val="2"/>
          <w:numId w:val="35"/>
        </w:numPr>
        <w:adjustRightInd/>
        <w:spacing w:line="360" w:lineRule="auto"/>
        <w:rPr>
          <w:rFonts w:hint="eastAsia" w:ascii="黑体" w:hAnsi="黑体" w:eastAsia="黑体"/>
        </w:rPr>
      </w:pPr>
      <w:r>
        <w:rPr>
          <w:rFonts w:hint="eastAsia" w:ascii="黑体" w:hAnsi="黑体" w:eastAsia="黑体"/>
        </w:rPr>
        <w:t xml:space="preserve"> 洗碗机性能</w:t>
      </w:r>
    </w:p>
    <w:p w14:paraId="05C1F514">
      <w:pPr>
        <w:spacing w:line="360" w:lineRule="auto"/>
        <w:ind w:left="480"/>
      </w:pPr>
      <w:r>
        <w:rPr>
          <w:rFonts w:hint="eastAsia"/>
        </w:rPr>
        <w:t>将试样进行 50 次洗碗机循环测试。洗碗机测试后，清漆不得出现变白，且无松动、起泡或</w:t>
      </w:r>
    </w:p>
    <w:p w14:paraId="7CE3C007">
      <w:pPr>
        <w:spacing w:line="360" w:lineRule="auto"/>
      </w:pPr>
      <w:r>
        <w:rPr>
          <w:rFonts w:hint="eastAsia"/>
        </w:rPr>
        <w:t>剥落现象。</w:t>
      </w:r>
    </w:p>
    <w:p w14:paraId="484ABC7C">
      <w:pPr>
        <w:spacing w:line="360" w:lineRule="auto"/>
        <w:ind w:left="480"/>
      </w:pPr>
      <w:r>
        <w:rPr>
          <w:rFonts w:hint="eastAsia"/>
        </w:rPr>
        <w:t>注：试验方法正在制定。</w:t>
      </w:r>
    </w:p>
    <w:p w14:paraId="762DC945">
      <w:pPr>
        <w:spacing w:line="360" w:lineRule="auto"/>
        <w:ind w:left="480"/>
      </w:pPr>
      <w:r>
        <w:rPr>
          <w:rFonts w:hint="eastAsia"/>
        </w:rPr>
        <w:t>允许清漆从边缘开始出现轻微损伤。</w:t>
      </w:r>
    </w:p>
    <w:p w14:paraId="558F4F4E">
      <w:pPr>
        <w:adjustRightInd/>
        <w:spacing w:line="360" w:lineRule="auto"/>
        <w:rPr>
          <w:rFonts w:hint="eastAsia" w:ascii="黑体" w:hAnsi="黑体" w:eastAsia="黑体"/>
        </w:rPr>
      </w:pPr>
      <w:r>
        <w:rPr>
          <w:rFonts w:hint="eastAsia" w:ascii="黑体" w:hAnsi="黑体" w:eastAsia="黑体"/>
        </w:rPr>
        <w:t>5.3.2  耐划伤性能</w:t>
      </w:r>
    </w:p>
    <w:p w14:paraId="75E24B42">
      <w:pPr>
        <w:spacing w:line="360" w:lineRule="auto"/>
        <w:ind w:left="480"/>
      </w:pPr>
      <w:r>
        <w:rPr>
          <w:rFonts w:hint="eastAsia"/>
        </w:rPr>
        <w:t>按附录C试验后，喷漆产品仅应显示出轻微的无光泽条纹。</w:t>
      </w:r>
    </w:p>
    <w:p w14:paraId="056E20B6">
      <w:pPr>
        <w:adjustRightInd/>
        <w:spacing w:line="360" w:lineRule="auto"/>
        <w:rPr>
          <w:rFonts w:hint="eastAsia" w:ascii="黑体" w:hAnsi="黑体" w:eastAsia="黑体"/>
        </w:rPr>
      </w:pPr>
      <w:r>
        <w:rPr>
          <w:rFonts w:hint="eastAsia" w:ascii="黑体" w:hAnsi="黑体" w:eastAsia="黑体"/>
        </w:rPr>
        <w:t>5.3.3 耐紫外线辐射性能</w:t>
      </w:r>
    </w:p>
    <w:p w14:paraId="6CE991CC">
      <w:pPr>
        <w:spacing w:line="360" w:lineRule="auto"/>
        <w:ind w:left="480"/>
      </w:pPr>
      <w:r>
        <w:rPr>
          <w:rFonts w:hint="eastAsia"/>
        </w:rPr>
        <w:t>按附录D试验后，喷漆产品应不变色。</w:t>
      </w:r>
    </w:p>
    <w:p w14:paraId="578B3B57">
      <w:pPr>
        <w:numPr>
          <w:ilvl w:val="0"/>
          <w:numId w:val="35"/>
        </w:numPr>
        <w:adjustRightInd/>
        <w:spacing w:line="360" w:lineRule="auto"/>
        <w:rPr>
          <w:rFonts w:hint="eastAsia" w:ascii="黑体" w:hAnsi="黑体" w:eastAsia="黑体"/>
        </w:rPr>
      </w:pPr>
      <w:r>
        <w:rPr>
          <w:rFonts w:hint="eastAsia" w:ascii="黑体" w:hAnsi="黑体" w:eastAsia="黑体"/>
        </w:rPr>
        <w:t>性能要求</w:t>
      </w:r>
    </w:p>
    <w:p w14:paraId="137058BE">
      <w:pPr>
        <w:spacing w:line="360" w:lineRule="auto"/>
        <w:rPr>
          <w:rFonts w:hint="eastAsia" w:ascii="黑体" w:hAnsi="黑体" w:eastAsia="黑体"/>
        </w:rPr>
      </w:pPr>
      <w:r>
        <w:rPr>
          <w:rFonts w:hint="eastAsia" w:ascii="黑体" w:hAnsi="黑体" w:eastAsia="黑体"/>
        </w:rPr>
        <w:t>6.1  抗载荷强度</w:t>
      </w:r>
    </w:p>
    <w:p w14:paraId="58092639">
      <w:pPr>
        <w:numPr>
          <w:ilvl w:val="2"/>
          <w:numId w:val="35"/>
        </w:numPr>
        <w:adjustRightInd/>
        <w:spacing w:line="360" w:lineRule="auto"/>
        <w:rPr>
          <w:rFonts w:hint="eastAsia" w:ascii="黑体" w:hAnsi="黑体" w:eastAsia="黑体"/>
        </w:rPr>
      </w:pPr>
      <w:bookmarkStart w:id="63" w:name="_Hlk225773646"/>
      <w:r>
        <w:rPr>
          <w:rFonts w:hint="eastAsia" w:ascii="黑体" w:hAnsi="黑体" w:eastAsia="黑体"/>
        </w:rPr>
        <w:t xml:space="preserve"> </w:t>
      </w:r>
      <w:bookmarkStart w:id="64" w:name="_Hlk225773668"/>
      <w:r>
        <w:rPr>
          <w:rFonts w:hint="eastAsia" w:ascii="黑体" w:hAnsi="黑体" w:eastAsia="黑体"/>
        </w:rPr>
        <w:t>矩形、正方形碟和盘的抗扭强度</w:t>
      </w:r>
    </w:p>
    <w:p w14:paraId="720C3132">
      <w:pPr>
        <w:spacing w:line="360" w:lineRule="auto"/>
        <w:ind w:left="480"/>
      </w:pPr>
      <w:r>
        <w:rPr>
          <w:rFonts w:hint="eastAsia"/>
        </w:rPr>
        <w:t>按附录E试验后，对矩形或正方形或最大轴线超过300</w:t>
      </w:r>
      <w:r>
        <w:t>mm</w:t>
      </w:r>
      <w:r>
        <w:rPr>
          <w:rFonts w:hint="eastAsia"/>
        </w:rPr>
        <w:t>的平盘，基体表面对角</w:t>
      </w:r>
    </w:p>
    <w:p w14:paraId="58C838DC">
      <w:pPr>
        <w:spacing w:line="360" w:lineRule="auto"/>
      </w:pPr>
      <w:r>
        <w:rPr>
          <w:rFonts w:hint="eastAsia"/>
        </w:rPr>
        <w:t>线的每</w:t>
      </w:r>
      <w:r>
        <w:t>100mm</w:t>
      </w:r>
      <w:r>
        <w:rPr>
          <w:rFonts w:hint="eastAsia"/>
        </w:rPr>
        <w:t>的变形量不应超过</w:t>
      </w:r>
      <w:r>
        <w:t>3.5mm</w:t>
      </w:r>
      <w:r>
        <w:rPr>
          <w:rFonts w:hint="eastAsia"/>
        </w:rPr>
        <w:t>。</w:t>
      </w:r>
    </w:p>
    <w:bookmarkEnd w:id="63"/>
    <w:bookmarkEnd w:id="64"/>
    <w:p w14:paraId="143A26C4">
      <w:pPr>
        <w:numPr>
          <w:ilvl w:val="2"/>
          <w:numId w:val="35"/>
        </w:numPr>
        <w:adjustRightInd/>
        <w:spacing w:line="360" w:lineRule="auto"/>
        <w:rPr>
          <w:rFonts w:hint="eastAsia" w:ascii="黑体" w:hAnsi="黑体" w:eastAsia="黑体"/>
        </w:rPr>
      </w:pPr>
      <w:r>
        <w:rPr>
          <w:rFonts w:hint="eastAsia" w:ascii="黑体" w:hAnsi="黑体" w:eastAsia="黑体"/>
        </w:rPr>
        <w:t xml:space="preserve"> 碟和盘的抗凹变</w:t>
      </w:r>
    </w:p>
    <w:p w14:paraId="15EDF4B0">
      <w:pPr>
        <w:spacing w:line="360" w:lineRule="auto"/>
        <w:ind w:left="480"/>
      </w:pPr>
      <w:r>
        <w:rPr>
          <w:rFonts w:hint="eastAsia"/>
        </w:rPr>
        <w:t>按附录F试验，</w:t>
      </w:r>
      <w:bookmarkStart w:id="65" w:name="_Hlk224561319"/>
      <w:r>
        <w:rPr>
          <w:rFonts w:hint="eastAsia"/>
        </w:rPr>
        <w:t>碟或盘不应出现变形现象。</w:t>
      </w:r>
      <w:bookmarkEnd w:id="65"/>
    </w:p>
    <w:p w14:paraId="64D0C25A">
      <w:pPr>
        <w:numPr>
          <w:ilvl w:val="2"/>
          <w:numId w:val="35"/>
        </w:numPr>
        <w:adjustRightInd/>
        <w:spacing w:line="360" w:lineRule="auto"/>
        <w:rPr>
          <w:rFonts w:hint="eastAsia" w:ascii="黑体" w:hAnsi="黑体" w:eastAsia="黑体"/>
        </w:rPr>
      </w:pPr>
      <w:r>
        <w:rPr>
          <w:rFonts w:hint="eastAsia" w:ascii="黑体" w:hAnsi="黑体" w:eastAsia="黑体"/>
        </w:rPr>
        <w:t xml:space="preserve"> 器皿负载强度</w:t>
      </w:r>
    </w:p>
    <w:p w14:paraId="37BCDC4D">
      <w:pPr>
        <w:spacing w:line="360" w:lineRule="auto"/>
        <w:ind w:left="480"/>
      </w:pPr>
      <w:r>
        <w:rPr>
          <w:rFonts w:hint="eastAsia"/>
        </w:rPr>
        <w:t>按附录G测试后，器皿不应出现明显的永久性变形。</w:t>
      </w:r>
    </w:p>
    <w:p w14:paraId="635C3523">
      <w:pPr>
        <w:numPr>
          <w:ilvl w:val="1"/>
          <w:numId w:val="35"/>
        </w:numPr>
        <w:adjustRightInd/>
        <w:spacing w:line="360" w:lineRule="auto"/>
        <w:rPr>
          <w:rFonts w:hint="eastAsia" w:ascii="黑体" w:hAnsi="黑体" w:eastAsia="黑体"/>
        </w:rPr>
      </w:pPr>
      <w:r>
        <w:rPr>
          <w:rFonts w:hint="eastAsia" w:ascii="黑体" w:hAnsi="黑体" w:eastAsia="黑体"/>
        </w:rPr>
        <w:t xml:space="preserve"> 附件强度</w:t>
      </w:r>
    </w:p>
    <w:p w14:paraId="636F5E46">
      <w:pPr>
        <w:spacing w:line="360" w:lineRule="auto"/>
        <w:ind w:left="480"/>
      </w:pPr>
      <w:r>
        <w:rPr>
          <w:rFonts w:hint="eastAsia"/>
        </w:rPr>
        <w:t>按附录 H 测试后，</w:t>
      </w:r>
      <w:bookmarkStart w:id="66" w:name="_Hlk224561403"/>
      <w:r>
        <w:rPr>
          <w:rFonts w:hint="eastAsia"/>
        </w:rPr>
        <w:t>任何承重附件不得出现断裂、可见变形或脱离。</w:t>
      </w:r>
      <w:bookmarkEnd w:id="66"/>
    </w:p>
    <w:p w14:paraId="4280861C">
      <w:pPr>
        <w:spacing w:line="360" w:lineRule="auto"/>
        <w:ind w:left="480"/>
      </w:pPr>
      <w:r>
        <w:rPr>
          <w:rFonts w:hint="eastAsia"/>
        </w:rPr>
        <w:t>当容器以提手悬挂，且内装质量（以克计）为其标称容量（以毫升计）的 1.5 倍时，提手或固定盖子的铰链不得出现断裂、可见变形或脱离。</w:t>
      </w:r>
    </w:p>
    <w:p w14:paraId="57A5C27A">
      <w:pPr>
        <w:numPr>
          <w:ilvl w:val="1"/>
          <w:numId w:val="35"/>
        </w:numPr>
        <w:adjustRightInd/>
        <w:spacing w:line="360" w:lineRule="auto"/>
        <w:rPr>
          <w:rFonts w:hint="eastAsia" w:ascii="黑体" w:hAnsi="黑体" w:eastAsia="黑体"/>
        </w:rPr>
      </w:pPr>
      <w:r>
        <w:rPr>
          <w:rFonts w:hint="eastAsia" w:ascii="黑体" w:hAnsi="黑体" w:eastAsia="黑体"/>
        </w:rPr>
        <w:t>稳定性</w:t>
      </w:r>
    </w:p>
    <w:p w14:paraId="0D22A827">
      <w:pPr>
        <w:spacing w:line="360" w:lineRule="auto"/>
        <w:ind w:firstLine="420"/>
      </w:pPr>
      <w:r>
        <w:rPr>
          <w:rFonts w:hint="eastAsia"/>
        </w:rPr>
        <w:t>当将一带支脚的器具放在一硬质平面上时，器具应稳定并且间隙应在表3规定之内，对无平面器具以切线方向施加力后应能旋转。</w:t>
      </w:r>
    </w:p>
    <w:p w14:paraId="05998DE1">
      <w:pPr>
        <w:spacing w:line="360" w:lineRule="auto"/>
        <w:ind w:firstLine="420"/>
      </w:pPr>
    </w:p>
    <w:p w14:paraId="6EE49C92">
      <w:pPr>
        <w:spacing w:line="360" w:lineRule="auto"/>
        <w:jc w:val="center"/>
      </w:pPr>
      <w:r>
        <w:rPr>
          <w:rFonts w:hint="eastAsia"/>
        </w:rPr>
        <w:t>表3  稳定性要求</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4680"/>
      </w:tblGrid>
      <w:tr w14:paraId="2B43B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808" w:type="dxa"/>
          </w:tcPr>
          <w:p w14:paraId="535770D8">
            <w:pPr>
              <w:spacing w:line="360" w:lineRule="auto"/>
            </w:pPr>
            <w:r>
              <w:rPr>
                <w:rFonts w:hint="eastAsia"/>
              </w:rPr>
              <w:t>器皿最宽处的整体宽度</w:t>
            </w:r>
          </w:p>
          <w:p w14:paraId="5C90E635">
            <w:pPr>
              <w:spacing w:line="360" w:lineRule="auto"/>
            </w:pPr>
            <w:r>
              <w:rPr>
                <w:rFonts w:hint="eastAsia"/>
              </w:rPr>
              <w:t xml:space="preserve">         mm</w:t>
            </w:r>
          </w:p>
        </w:tc>
        <w:tc>
          <w:tcPr>
            <w:tcW w:w="4680" w:type="dxa"/>
          </w:tcPr>
          <w:p w14:paraId="3DDC73FE">
            <w:pPr>
              <w:spacing w:line="360" w:lineRule="auto"/>
            </w:pPr>
            <w:bookmarkStart w:id="67" w:name="_Hlk225773819"/>
            <w:r>
              <w:rPr>
                <w:rFonts w:hint="eastAsia"/>
              </w:rPr>
              <w:t>支脚与平面之间的最大允许间隙</w:t>
            </w:r>
          </w:p>
          <w:bookmarkEnd w:id="67"/>
          <w:p w14:paraId="4D5AB0F6">
            <w:pPr>
              <w:spacing w:line="360" w:lineRule="auto"/>
            </w:pPr>
            <w:r>
              <w:rPr>
                <w:rFonts w:hint="eastAsia"/>
              </w:rPr>
              <w:t xml:space="preserve">                    mm</w:t>
            </w:r>
          </w:p>
        </w:tc>
      </w:tr>
      <w:tr w14:paraId="7EDFD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808" w:type="dxa"/>
          </w:tcPr>
          <w:p w14:paraId="5FE231DC">
            <w:pPr>
              <w:spacing w:line="360" w:lineRule="auto"/>
            </w:pPr>
            <w:r>
              <w:rPr>
                <w:rFonts w:hint="eastAsia"/>
              </w:rPr>
              <w:t xml:space="preserve">       宽度</w:t>
            </w:r>
            <w:r>
              <w:rPr>
                <w:rFonts w:hint="eastAsia" w:ascii="宋体"/>
              </w:rPr>
              <w:t>≤</w:t>
            </w:r>
            <w:r>
              <w:rPr>
                <w:rFonts w:hint="eastAsia"/>
              </w:rPr>
              <w:t>99</w:t>
            </w:r>
          </w:p>
          <w:p w14:paraId="039FB8C4">
            <w:pPr>
              <w:spacing w:line="360" w:lineRule="auto"/>
            </w:pPr>
            <w:r>
              <w:rPr>
                <w:rFonts w:hint="eastAsia"/>
              </w:rPr>
              <w:t xml:space="preserve">     99＜宽度＜150</w:t>
            </w:r>
          </w:p>
          <w:p w14:paraId="217FE3A3">
            <w:pPr>
              <w:spacing w:line="360" w:lineRule="auto"/>
            </w:pPr>
            <w:r>
              <w:rPr>
                <w:rFonts w:hint="eastAsia"/>
              </w:rPr>
              <w:t xml:space="preserve">       宽度</w:t>
            </w:r>
            <w:r>
              <w:rPr>
                <w:rFonts w:hint="eastAsia" w:ascii="宋体"/>
              </w:rPr>
              <w:t>≥</w:t>
            </w:r>
            <w:r>
              <w:rPr>
                <w:rFonts w:hint="eastAsia"/>
              </w:rPr>
              <w:t xml:space="preserve">150 </w:t>
            </w:r>
          </w:p>
        </w:tc>
        <w:tc>
          <w:tcPr>
            <w:tcW w:w="4680" w:type="dxa"/>
          </w:tcPr>
          <w:p w14:paraId="424CB30A">
            <w:pPr>
              <w:spacing w:line="360" w:lineRule="auto"/>
              <w:ind w:left="1890"/>
            </w:pPr>
            <w:r>
              <w:rPr>
                <w:rFonts w:hint="eastAsia"/>
              </w:rPr>
              <w:t>0.25</w:t>
            </w:r>
          </w:p>
          <w:p w14:paraId="137D63C6">
            <w:pPr>
              <w:spacing w:line="360" w:lineRule="auto"/>
              <w:ind w:left="1890"/>
            </w:pPr>
            <w:r>
              <w:rPr>
                <w:rFonts w:hint="eastAsia"/>
              </w:rPr>
              <w:t>0.40</w:t>
            </w:r>
          </w:p>
          <w:p w14:paraId="4C694DF0">
            <w:pPr>
              <w:spacing w:line="360" w:lineRule="auto"/>
              <w:ind w:left="1890"/>
            </w:pPr>
            <w:r>
              <w:rPr>
                <w:rFonts w:hint="eastAsia"/>
              </w:rPr>
              <w:t>1.0</w:t>
            </w:r>
          </w:p>
        </w:tc>
      </w:tr>
    </w:tbl>
    <w:p w14:paraId="6BD76EE2">
      <w:pPr>
        <w:spacing w:line="360" w:lineRule="auto"/>
      </w:pPr>
    </w:p>
    <w:p w14:paraId="42C5C4B8">
      <w:pPr>
        <w:numPr>
          <w:ilvl w:val="1"/>
          <w:numId w:val="35"/>
        </w:numPr>
        <w:adjustRightInd/>
        <w:spacing w:line="360" w:lineRule="auto"/>
        <w:rPr>
          <w:rFonts w:hint="eastAsia" w:ascii="黑体" w:hAnsi="黑体" w:eastAsia="黑体"/>
        </w:rPr>
      </w:pPr>
      <w:r>
        <w:rPr>
          <w:rFonts w:hint="eastAsia" w:ascii="黑体" w:hAnsi="黑体" w:eastAsia="黑体"/>
        </w:rPr>
        <w:t xml:space="preserve"> 倒水</w:t>
      </w:r>
    </w:p>
    <w:p w14:paraId="3818A0FC">
      <w:pPr>
        <w:spacing w:line="360" w:lineRule="auto"/>
        <w:ind w:left="480"/>
      </w:pPr>
      <w:r>
        <w:rPr>
          <w:rFonts w:hint="eastAsia"/>
        </w:rPr>
        <w:t>当按照附录J试验时，</w:t>
      </w:r>
      <w:r>
        <w:t>壶嘴开口应能顺畅倾倒，无滴漏。</w:t>
      </w:r>
    </w:p>
    <w:p w14:paraId="23E4AABB">
      <w:pPr>
        <w:numPr>
          <w:ilvl w:val="1"/>
          <w:numId w:val="35"/>
        </w:numPr>
        <w:adjustRightInd/>
        <w:spacing w:line="360" w:lineRule="auto"/>
        <w:rPr>
          <w:rFonts w:hint="eastAsia" w:ascii="黑体" w:hAnsi="黑体" w:eastAsia="黑体"/>
        </w:rPr>
      </w:pPr>
      <w:r>
        <w:rPr>
          <w:rFonts w:hint="eastAsia" w:ascii="黑体" w:hAnsi="黑体" w:eastAsia="黑体"/>
        </w:rPr>
        <w:t xml:space="preserve"> 手柄温升和泄漏</w:t>
      </w:r>
    </w:p>
    <w:p w14:paraId="167690D7">
      <w:pPr>
        <w:spacing w:line="360" w:lineRule="auto"/>
        <w:ind w:left="480"/>
      </w:pPr>
      <w:r>
        <w:rPr>
          <w:rFonts w:hint="eastAsia"/>
        </w:rPr>
        <w:t>盛装热液的容器，其手柄在正常使用中手柄接触部位的最高温度，按附录 K 的方法测试时不得超过以下限值：</w:t>
      </w:r>
    </w:p>
    <w:p w14:paraId="5D9F57D4">
      <w:pPr>
        <w:spacing w:line="360" w:lineRule="auto"/>
        <w:ind w:left="480"/>
      </w:pPr>
      <w:r>
        <w:rPr>
          <w:rFonts w:hint="eastAsia"/>
        </w:rPr>
        <w:t>塑料、木质或类似材质手柄：70℃</w:t>
      </w:r>
    </w:p>
    <w:p w14:paraId="44F9440B">
      <w:pPr>
        <w:spacing w:line="360" w:lineRule="auto"/>
        <w:ind w:left="480"/>
      </w:pPr>
      <w:r>
        <w:rPr>
          <w:rFonts w:hint="eastAsia"/>
        </w:rPr>
        <w:t>玻璃、陶瓷或类似材质手柄：60℃</w:t>
      </w:r>
    </w:p>
    <w:p w14:paraId="29B446A5">
      <w:pPr>
        <w:spacing w:line="360" w:lineRule="auto"/>
        <w:ind w:left="480"/>
      </w:pPr>
      <w:bookmarkStart w:id="68" w:name="_Hlk225774058"/>
      <w:r>
        <w:rPr>
          <w:rFonts w:hint="eastAsia"/>
        </w:rPr>
        <w:t>金属材料制成的手柄：50℃</w:t>
      </w:r>
    </w:p>
    <w:bookmarkEnd w:id="68"/>
    <w:p w14:paraId="0406E9F5">
      <w:pPr>
        <w:spacing w:line="360" w:lineRule="auto"/>
        <w:ind w:left="480"/>
      </w:pPr>
      <w:r>
        <w:rPr>
          <w:rFonts w:hint="eastAsia"/>
        </w:rPr>
        <w:t>测试过程中器皿不得发生渗漏。</w:t>
      </w:r>
    </w:p>
    <w:p w14:paraId="184A1075">
      <w:pPr>
        <w:numPr>
          <w:ilvl w:val="1"/>
          <w:numId w:val="35"/>
        </w:numPr>
        <w:adjustRightInd/>
        <w:spacing w:line="360" w:lineRule="auto"/>
        <w:rPr>
          <w:rFonts w:hint="eastAsia" w:ascii="黑体" w:hAnsi="黑体" w:eastAsia="黑体"/>
        </w:rPr>
      </w:pPr>
      <w:r>
        <w:rPr>
          <w:rFonts w:hint="eastAsia" w:ascii="黑体" w:hAnsi="黑体" w:eastAsia="黑体"/>
        </w:rPr>
        <w:t>镀银层的附着力</w:t>
      </w:r>
    </w:p>
    <w:p w14:paraId="6C6611AC">
      <w:pPr>
        <w:spacing w:line="360" w:lineRule="auto"/>
        <w:ind w:firstLine="420"/>
      </w:pPr>
      <w:r>
        <w:rPr>
          <w:rFonts w:hint="eastAsia"/>
        </w:rPr>
        <w:t>按 EN ISO 8442-2:1997 附录 N 测试时，银镀层不得出现脱落、起泡或剥落现象；若制品尺寸过大无法放入该装置，则在 250℃±10℃下加热 30  ±5 分钟，随后立即在 20℃±5℃的水中，也应满足上述要求。</w:t>
      </w:r>
    </w:p>
    <w:p w14:paraId="22C0E407">
      <w:pPr>
        <w:spacing w:line="360" w:lineRule="auto"/>
        <w:ind w:firstLine="420"/>
        <w:rPr>
          <w:rFonts w:ascii="宋体"/>
        </w:rPr>
      </w:pPr>
      <w:r>
        <w:rPr>
          <w:rFonts w:hint="eastAsia" w:ascii="宋体"/>
        </w:rPr>
        <w:t>按附录H试验后，所有连接件应牢固可靠（见6.2）。</w:t>
      </w:r>
    </w:p>
    <w:p w14:paraId="5CF8B3C9">
      <w:pPr>
        <w:ind w:firstLine="420" w:firstLineChars="200"/>
      </w:pPr>
      <w:r>
        <w:rPr>
          <w:rFonts w:hint="eastAsia"/>
        </w:rPr>
        <w:t>本条款中所述的软钎焊件在耐热/骤冷试验中的断裂，如未声称是烤箱用器皿，则不予考虑，只要镀银的附着力符合要求即可。</w:t>
      </w:r>
    </w:p>
    <w:p w14:paraId="4C161EA7">
      <w:pPr>
        <w:numPr>
          <w:ilvl w:val="1"/>
          <w:numId w:val="35"/>
        </w:numPr>
        <w:adjustRightInd/>
        <w:spacing w:line="360" w:lineRule="auto"/>
        <w:rPr>
          <w:rFonts w:hint="eastAsia" w:ascii="黑体" w:hAnsi="黑体" w:eastAsia="黑体"/>
        </w:rPr>
      </w:pPr>
      <w:r>
        <w:rPr>
          <w:rFonts w:hint="eastAsia" w:ascii="黑体" w:hAnsi="黑体" w:eastAsia="黑体"/>
        </w:rPr>
        <w:t>耐热性</w:t>
      </w:r>
    </w:p>
    <w:p w14:paraId="07A2D772">
      <w:pPr>
        <w:spacing w:line="360" w:lineRule="auto"/>
        <w:ind w:firstLine="420" w:firstLineChars="200"/>
        <w:rPr>
          <w:rFonts w:ascii="宋体"/>
        </w:rPr>
      </w:pPr>
      <w:r>
        <w:rPr>
          <w:rFonts w:hint="eastAsia" w:ascii="宋体"/>
        </w:rPr>
        <w:t>产品标识</w:t>
      </w:r>
      <w:r>
        <w:rPr>
          <w:rFonts w:ascii="宋体"/>
        </w:rPr>
        <w:t>为可进烤箱的餐具，以及可在炉灶上</w:t>
      </w:r>
      <w:r>
        <w:rPr>
          <w:rFonts w:hint="eastAsia" w:ascii="宋体"/>
        </w:rPr>
        <w:t>重复</w:t>
      </w:r>
      <w:r>
        <w:rPr>
          <w:rFonts w:ascii="宋体"/>
        </w:rPr>
        <w:t>加热咖啡、茶、水或牛奶等热液的容器</w:t>
      </w:r>
      <w:r>
        <w:rPr>
          <w:rFonts w:hint="eastAsia" w:ascii="宋体"/>
        </w:rPr>
        <w:t>（见7.2e）</w:t>
      </w:r>
      <w:r>
        <w:rPr>
          <w:rFonts w:ascii="宋体"/>
        </w:rPr>
        <w:t>，在经受 6.6 条款所述的</w:t>
      </w:r>
      <w:r>
        <w:rPr>
          <w:rFonts w:hint="eastAsia"/>
        </w:rPr>
        <w:t>耐热/骤冷</w:t>
      </w:r>
      <w:r>
        <w:rPr>
          <w:rFonts w:ascii="宋体"/>
        </w:rPr>
        <w:t>测试后，其表面、焊缝及钎焊区域不得出现</w:t>
      </w:r>
      <w:r>
        <w:rPr>
          <w:rFonts w:hint="eastAsia" w:ascii="宋体"/>
        </w:rPr>
        <w:t>变形或者变软等异常现象</w:t>
      </w:r>
      <w:r>
        <w:rPr>
          <w:rFonts w:ascii="宋体"/>
        </w:rPr>
        <w:t>。</w:t>
      </w:r>
    </w:p>
    <w:p w14:paraId="0D2FDDAD">
      <w:pPr>
        <w:numPr>
          <w:ilvl w:val="0"/>
          <w:numId w:val="35"/>
        </w:numPr>
        <w:adjustRightInd/>
        <w:spacing w:line="360" w:lineRule="auto"/>
        <w:rPr>
          <w:rFonts w:hint="eastAsia" w:ascii="黑体" w:hAnsi="黑体" w:eastAsia="黑体"/>
        </w:rPr>
      </w:pPr>
      <w:r>
        <w:rPr>
          <w:rFonts w:hint="eastAsia" w:ascii="黑体" w:hAnsi="黑体" w:eastAsia="黑体"/>
        </w:rPr>
        <w:t>标志和标签</w:t>
      </w:r>
    </w:p>
    <w:p w14:paraId="0057DE3D">
      <w:pPr>
        <w:numPr>
          <w:ilvl w:val="1"/>
          <w:numId w:val="35"/>
        </w:numPr>
        <w:adjustRightInd/>
        <w:spacing w:line="360" w:lineRule="auto"/>
        <w:rPr>
          <w:rFonts w:hint="eastAsia" w:ascii="黑体" w:hAnsi="黑体" w:eastAsia="黑体"/>
        </w:rPr>
      </w:pPr>
      <w:r>
        <w:rPr>
          <w:rFonts w:hint="eastAsia" w:ascii="黑体" w:hAnsi="黑体" w:eastAsia="黑体"/>
        </w:rPr>
        <w:t xml:space="preserve"> 标志</w:t>
      </w:r>
    </w:p>
    <w:p w14:paraId="45F579F7">
      <w:pPr>
        <w:numPr>
          <w:ilvl w:val="2"/>
          <w:numId w:val="35"/>
        </w:numPr>
        <w:adjustRightInd/>
        <w:spacing w:line="360" w:lineRule="auto"/>
        <w:rPr>
          <w:rFonts w:ascii="宋体"/>
        </w:rPr>
      </w:pPr>
      <w:r>
        <w:rPr>
          <w:rFonts w:hint="eastAsia" w:ascii="宋体"/>
        </w:rPr>
        <w:t>镀银器皿的产品应有下列合法的、可识别的标志。</w:t>
      </w:r>
    </w:p>
    <w:p w14:paraId="7554CE39">
      <w:pPr>
        <w:numPr>
          <w:ilvl w:val="0"/>
          <w:numId w:val="36"/>
        </w:numPr>
        <w:adjustRightInd/>
        <w:spacing w:line="360" w:lineRule="auto"/>
        <w:rPr>
          <w:rFonts w:ascii="宋体"/>
        </w:rPr>
      </w:pPr>
      <w:r>
        <w:rPr>
          <w:rFonts w:hint="eastAsia" w:ascii="宋体"/>
        </w:rPr>
        <w:t>厂名和/或商标以及其它可以标明制造商或供应商的方式。</w:t>
      </w:r>
    </w:p>
    <w:p w14:paraId="51785299">
      <w:pPr>
        <w:numPr>
          <w:ilvl w:val="0"/>
          <w:numId w:val="36"/>
        </w:numPr>
        <w:adjustRightInd/>
        <w:spacing w:line="360" w:lineRule="auto"/>
        <w:rPr>
          <w:rFonts w:ascii="宋体"/>
        </w:rPr>
      </w:pPr>
      <w:r>
        <w:rPr>
          <w:rFonts w:hint="eastAsia" w:ascii="宋体"/>
        </w:rPr>
        <w:t>用本文件号同下列罗马数字结合使用：</w:t>
      </w:r>
    </w:p>
    <w:p w14:paraId="10059505">
      <w:pPr>
        <w:spacing w:line="360" w:lineRule="auto"/>
        <w:ind w:left="480"/>
        <w:rPr>
          <w:rFonts w:ascii="宋体"/>
        </w:rPr>
      </w:pPr>
      <w:r>
        <w:rPr>
          <w:rFonts w:hint="eastAsia" w:ascii="宋体"/>
        </w:rPr>
        <w:t xml:space="preserve">  Ⅰ指一级镀银层；</w:t>
      </w:r>
    </w:p>
    <w:p w14:paraId="4132A7B3">
      <w:pPr>
        <w:spacing w:line="360" w:lineRule="auto"/>
        <w:ind w:left="480"/>
        <w:rPr>
          <w:rFonts w:ascii="宋体"/>
        </w:rPr>
      </w:pPr>
      <w:r>
        <w:rPr>
          <w:rFonts w:hint="eastAsia" w:ascii="宋体"/>
        </w:rPr>
        <w:t xml:space="preserve">  Ⅱ指二级镀银层；</w:t>
      </w:r>
    </w:p>
    <w:p w14:paraId="4F58516C">
      <w:pPr>
        <w:spacing w:line="360" w:lineRule="auto"/>
        <w:ind w:left="480"/>
        <w:rPr>
          <w:rFonts w:ascii="宋体"/>
        </w:rPr>
      </w:pPr>
      <w:r>
        <w:rPr>
          <w:rFonts w:hint="eastAsia" w:ascii="宋体"/>
        </w:rPr>
        <w:t xml:space="preserve">  Ⅲ指三级镀银层。</w:t>
      </w:r>
    </w:p>
    <w:p w14:paraId="0A387C72">
      <w:pPr>
        <w:spacing w:line="360" w:lineRule="auto"/>
        <w:ind w:left="480"/>
        <w:rPr>
          <w:rFonts w:ascii="宋体"/>
          <w:sz w:val="18"/>
          <w:szCs w:val="18"/>
        </w:rPr>
      </w:pPr>
      <w:r>
        <w:rPr>
          <w:rFonts w:hint="eastAsia" w:ascii="宋体"/>
          <w:sz w:val="18"/>
          <w:szCs w:val="18"/>
        </w:rPr>
        <w:t xml:space="preserve">  注：如有要求，各国家已在使用的标示也可使用。</w:t>
      </w:r>
    </w:p>
    <w:p w14:paraId="340ADD95">
      <w:pPr>
        <w:numPr>
          <w:ilvl w:val="1"/>
          <w:numId w:val="35"/>
        </w:numPr>
        <w:adjustRightInd/>
        <w:spacing w:line="360" w:lineRule="auto"/>
        <w:rPr>
          <w:rFonts w:hint="eastAsia" w:ascii="黑体" w:hAnsi="黑体" w:eastAsia="黑体"/>
        </w:rPr>
      </w:pPr>
      <w:r>
        <w:rPr>
          <w:rFonts w:hint="eastAsia" w:ascii="黑体" w:hAnsi="黑体" w:eastAsia="黑体"/>
        </w:rPr>
        <w:t xml:space="preserve"> 标签</w:t>
      </w:r>
    </w:p>
    <w:p w14:paraId="1FE37180">
      <w:pPr>
        <w:spacing w:line="360" w:lineRule="auto"/>
        <w:ind w:left="480"/>
        <w:rPr>
          <w:rFonts w:ascii="宋体"/>
        </w:rPr>
      </w:pPr>
      <w:r>
        <w:rPr>
          <w:rFonts w:hint="eastAsia" w:ascii="宋体"/>
        </w:rPr>
        <w:t>在流通领域应采用下列信息：</w:t>
      </w:r>
    </w:p>
    <w:p w14:paraId="73860334">
      <w:pPr>
        <w:spacing w:line="360" w:lineRule="auto"/>
        <w:ind w:left="480"/>
        <w:rPr>
          <w:rFonts w:ascii="宋体"/>
        </w:rPr>
      </w:pPr>
      <w:r>
        <w:rPr>
          <w:rFonts w:ascii="宋体"/>
        </w:rPr>
        <w:t>a)</w:t>
      </w:r>
      <w:r>
        <w:rPr>
          <w:rFonts w:hint="eastAsia" w:ascii="宋体"/>
        </w:rPr>
        <w:t>本文件的标准号；</w:t>
      </w:r>
    </w:p>
    <w:p w14:paraId="7735DB92">
      <w:pPr>
        <w:spacing w:line="360" w:lineRule="auto"/>
        <w:ind w:left="480"/>
        <w:rPr>
          <w:rFonts w:ascii="宋体"/>
        </w:rPr>
      </w:pPr>
      <w:r>
        <w:rPr>
          <w:rFonts w:ascii="宋体"/>
        </w:rPr>
        <w:t>b)</w:t>
      </w:r>
      <w:r>
        <w:rPr>
          <w:rFonts w:hint="eastAsia" w:ascii="宋体"/>
        </w:rPr>
        <w:t>产品是餐桌上用凹形器皿还是装饰用凹形器皿的说明；</w:t>
      </w:r>
    </w:p>
    <w:p w14:paraId="68356FA4">
      <w:pPr>
        <w:spacing w:line="360" w:lineRule="auto"/>
        <w:ind w:left="480"/>
        <w:rPr>
          <w:rFonts w:ascii="宋体"/>
        </w:rPr>
      </w:pPr>
      <w:r>
        <w:rPr>
          <w:rFonts w:ascii="宋体"/>
        </w:rPr>
        <w:t>c)</w:t>
      </w:r>
      <w:r>
        <w:rPr>
          <w:rFonts w:hint="eastAsia" w:ascii="宋体"/>
        </w:rPr>
        <w:t>其镀银层等级，是一级、二级或三级。基体金属的材料以及产品是否有清漆保护的说明；</w:t>
      </w:r>
    </w:p>
    <w:p w14:paraId="6508CD4E">
      <w:pPr>
        <w:spacing w:line="360" w:lineRule="auto"/>
        <w:ind w:left="480"/>
        <w:rPr>
          <w:rFonts w:ascii="宋体"/>
        </w:rPr>
      </w:pPr>
      <w:r>
        <w:rPr>
          <w:rFonts w:ascii="宋体"/>
        </w:rPr>
        <w:t>d)</w:t>
      </w:r>
      <w:r>
        <w:rPr>
          <w:rFonts w:hint="eastAsia" w:ascii="宋体"/>
        </w:rPr>
        <w:t>采用的任何非金属部分的材料的说明；</w:t>
      </w:r>
    </w:p>
    <w:p w14:paraId="1DB9044D">
      <w:pPr>
        <w:spacing w:line="360" w:lineRule="auto"/>
        <w:ind w:left="480"/>
        <w:rPr>
          <w:rFonts w:hint="eastAsia" w:ascii="黑体" w:hAnsi="黑体" w:eastAsia="黑体"/>
        </w:rPr>
      </w:pPr>
      <w:r>
        <w:rPr>
          <w:rFonts w:ascii="宋体"/>
        </w:rPr>
        <w:t>e)</w:t>
      </w:r>
      <w:r>
        <w:rPr>
          <w:rFonts w:hint="eastAsia" w:ascii="宋体"/>
        </w:rPr>
        <w:t>产品是否为灶台上用器皿，能否在电炉上重复加热的说明。</w:t>
      </w:r>
    </w:p>
    <w:p w14:paraId="5DE6C514">
      <w:pPr>
        <w:spacing w:line="360" w:lineRule="auto"/>
        <w:ind w:left="480"/>
        <w:jc w:val="center"/>
        <w:outlineLvl w:val="0"/>
        <w:rPr>
          <w:rFonts w:hint="eastAsia" w:ascii="黑体" w:hAnsi="黑体" w:eastAsia="黑体"/>
        </w:rPr>
        <w:sectPr>
          <w:pgSz w:w="11906" w:h="16838"/>
          <w:pgMar w:top="567" w:right="1134" w:bottom="1134" w:left="1134" w:header="1418" w:footer="1134" w:gutter="284"/>
          <w:cols w:space="425" w:num="1"/>
          <w:formProt w:val="0"/>
          <w:docGrid w:linePitch="312" w:charSpace="0"/>
        </w:sectPr>
      </w:pPr>
    </w:p>
    <w:p w14:paraId="79237890">
      <w:pPr>
        <w:spacing w:line="360" w:lineRule="auto"/>
        <w:ind w:left="480"/>
        <w:jc w:val="center"/>
        <w:outlineLvl w:val="0"/>
        <w:rPr>
          <w:rFonts w:hint="eastAsia" w:ascii="黑体" w:hAnsi="黑体" w:eastAsia="黑体"/>
        </w:rPr>
      </w:pPr>
      <w:r>
        <w:rPr>
          <w:rFonts w:hint="eastAsia" w:ascii="黑体" w:hAnsi="黑体" w:eastAsia="黑体"/>
        </w:rPr>
        <w:t>附录A</w:t>
      </w:r>
    </w:p>
    <w:p w14:paraId="60D52685">
      <w:pPr>
        <w:spacing w:line="360" w:lineRule="auto"/>
        <w:ind w:left="480"/>
        <w:jc w:val="center"/>
        <w:rPr>
          <w:rFonts w:hint="eastAsia" w:ascii="黑体" w:hAnsi="黑体" w:eastAsia="黑体"/>
        </w:rPr>
      </w:pPr>
      <w:r>
        <w:rPr>
          <w:rFonts w:hint="eastAsia" w:ascii="黑体" w:hAnsi="黑体" w:eastAsia="黑体"/>
        </w:rPr>
        <w:t>（资料性）</w:t>
      </w:r>
    </w:p>
    <w:p w14:paraId="6C33A00B">
      <w:pPr>
        <w:spacing w:line="360" w:lineRule="auto"/>
        <w:ind w:firstLine="420"/>
        <w:jc w:val="center"/>
        <w:rPr>
          <w:rFonts w:hint="eastAsia" w:ascii="黑体" w:hAnsi="黑体" w:eastAsia="黑体"/>
        </w:rPr>
      </w:pPr>
      <w:r>
        <w:rPr>
          <w:rFonts w:hint="eastAsia" w:ascii="黑体" w:hAnsi="黑体" w:eastAsia="黑体"/>
        </w:rPr>
        <w:t>产品类型</w:t>
      </w:r>
    </w:p>
    <w:p w14:paraId="138FBD23">
      <w:pPr>
        <w:spacing w:line="360" w:lineRule="auto"/>
        <w:ind w:firstLine="420"/>
        <w:jc w:val="center"/>
        <w:rPr>
          <w:rFonts w:hint="eastAsia" w:ascii="黑体" w:hAnsi="黑体" w:eastAsia="黑体"/>
        </w:rPr>
      </w:pPr>
    </w:p>
    <w:p w14:paraId="0C579400">
      <w:pPr>
        <w:spacing w:line="360" w:lineRule="auto"/>
        <w:jc w:val="center"/>
        <w:rPr>
          <w:rFonts w:hint="eastAsia" w:ascii="黑体" w:hAnsi="黑体" w:eastAsia="黑体"/>
        </w:rPr>
      </w:pPr>
      <w:r>
        <w:rPr>
          <w:rFonts w:hint="eastAsia" w:ascii="黑体" w:hAnsi="黑体" w:eastAsia="黑体"/>
        </w:rPr>
        <w:t>表A.1  产品类型</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8"/>
        <w:gridCol w:w="2152"/>
        <w:gridCol w:w="1988"/>
      </w:tblGrid>
      <w:tr w14:paraId="0D99F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528" w:type="dxa"/>
            <w:vMerge w:val="restart"/>
          </w:tcPr>
          <w:p w14:paraId="16D584E4">
            <w:pPr>
              <w:spacing w:line="360" w:lineRule="auto"/>
            </w:pPr>
          </w:p>
          <w:p w14:paraId="1857DDD8">
            <w:pPr>
              <w:spacing w:line="360" w:lineRule="auto"/>
            </w:pPr>
            <w:r>
              <w:rPr>
                <w:rFonts w:hint="eastAsia"/>
              </w:rPr>
              <w:t xml:space="preserve">        产 品 类 型</w:t>
            </w:r>
          </w:p>
        </w:tc>
        <w:tc>
          <w:tcPr>
            <w:tcW w:w="4140" w:type="dxa"/>
            <w:gridSpan w:val="2"/>
          </w:tcPr>
          <w:p w14:paraId="7DE67817">
            <w:pPr>
              <w:spacing w:line="360" w:lineRule="auto"/>
            </w:pPr>
            <w:r>
              <w:rPr>
                <w:rFonts w:hint="eastAsia"/>
              </w:rPr>
              <w:t xml:space="preserve">             分    类</w:t>
            </w:r>
          </w:p>
        </w:tc>
      </w:tr>
      <w:tr w14:paraId="561E5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528" w:type="dxa"/>
            <w:vMerge w:val="continue"/>
          </w:tcPr>
          <w:p w14:paraId="6663866C">
            <w:pPr>
              <w:spacing w:line="360" w:lineRule="auto"/>
            </w:pPr>
          </w:p>
        </w:tc>
        <w:tc>
          <w:tcPr>
            <w:tcW w:w="2152" w:type="dxa"/>
          </w:tcPr>
          <w:p w14:paraId="1328D114">
            <w:pPr>
              <w:spacing w:line="360" w:lineRule="auto"/>
            </w:pPr>
            <w:r>
              <w:rPr>
                <w:rFonts w:hint="eastAsia"/>
              </w:rPr>
              <w:t>与食品接触产品</w:t>
            </w:r>
            <w:r>
              <w:rPr>
                <w:rFonts w:hint="eastAsia"/>
                <w:vertAlign w:val="superscript"/>
              </w:rPr>
              <w:t>1）</w:t>
            </w:r>
          </w:p>
          <w:p w14:paraId="1FE998B3">
            <w:pPr>
              <w:spacing w:line="360" w:lineRule="auto"/>
            </w:pPr>
            <w:r>
              <w:rPr>
                <w:rFonts w:hint="eastAsia"/>
              </w:rPr>
              <w:t>（餐桌用器皿）</w:t>
            </w:r>
          </w:p>
        </w:tc>
        <w:tc>
          <w:tcPr>
            <w:tcW w:w="1988" w:type="dxa"/>
          </w:tcPr>
          <w:p w14:paraId="5F93D9DA">
            <w:pPr>
              <w:spacing w:line="360" w:lineRule="auto"/>
            </w:pPr>
            <w:r>
              <w:rPr>
                <w:rFonts w:hint="eastAsia"/>
              </w:rPr>
              <w:t>不与食品接触产品</w:t>
            </w:r>
          </w:p>
          <w:p w14:paraId="46195D55">
            <w:pPr>
              <w:spacing w:line="360" w:lineRule="auto"/>
            </w:pPr>
            <w:r>
              <w:rPr>
                <w:rFonts w:hint="eastAsia"/>
              </w:rPr>
              <w:t>（装饰用器皿）</w:t>
            </w:r>
          </w:p>
        </w:tc>
      </w:tr>
      <w:tr w14:paraId="4DA46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28" w:type="dxa"/>
          </w:tcPr>
          <w:p w14:paraId="65061621">
            <w:pPr>
              <w:spacing w:line="360" w:lineRule="auto"/>
            </w:pPr>
            <w:r>
              <w:rPr>
                <w:rFonts w:hint="eastAsia"/>
              </w:rPr>
              <w:t>食物盘、碟、托盘、碗、篮子、容器及其盖子</w:t>
            </w:r>
          </w:p>
        </w:tc>
        <w:tc>
          <w:tcPr>
            <w:tcW w:w="2152" w:type="dxa"/>
          </w:tcPr>
          <w:p w14:paraId="358BCEB3">
            <w:pPr>
              <w:spacing w:line="360" w:lineRule="auto"/>
            </w:pPr>
            <w:r>
              <w:rPr>
                <w:rFonts w:hint="eastAsia"/>
              </w:rPr>
              <w:t xml:space="preserve">       +</w:t>
            </w:r>
          </w:p>
        </w:tc>
        <w:tc>
          <w:tcPr>
            <w:tcW w:w="1988" w:type="dxa"/>
          </w:tcPr>
          <w:p w14:paraId="4F857348">
            <w:pPr>
              <w:spacing w:line="360" w:lineRule="auto"/>
            </w:pPr>
          </w:p>
        </w:tc>
      </w:tr>
      <w:tr w14:paraId="05DE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3528" w:type="dxa"/>
          </w:tcPr>
          <w:p w14:paraId="37B229EC">
            <w:pPr>
              <w:spacing w:line="360" w:lineRule="auto"/>
            </w:pPr>
            <w:r>
              <w:rPr>
                <w:rFonts w:hint="eastAsia"/>
              </w:rPr>
              <w:t>托盘（通用）、烟灰缸</w:t>
            </w:r>
          </w:p>
        </w:tc>
        <w:tc>
          <w:tcPr>
            <w:tcW w:w="2152" w:type="dxa"/>
          </w:tcPr>
          <w:p w14:paraId="48FF0FC3">
            <w:pPr>
              <w:spacing w:line="360" w:lineRule="auto"/>
            </w:pPr>
          </w:p>
        </w:tc>
        <w:tc>
          <w:tcPr>
            <w:tcW w:w="1988" w:type="dxa"/>
          </w:tcPr>
          <w:p w14:paraId="7C0C7B30">
            <w:pPr>
              <w:spacing w:line="360" w:lineRule="auto"/>
            </w:pPr>
            <w:r>
              <w:rPr>
                <w:rFonts w:hint="eastAsia"/>
              </w:rPr>
              <w:t xml:space="preserve">       +</w:t>
            </w:r>
          </w:p>
        </w:tc>
      </w:tr>
      <w:tr w14:paraId="600F8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tcPr>
          <w:p w14:paraId="4EAB0FF3">
            <w:pPr>
              <w:spacing w:line="360" w:lineRule="auto"/>
            </w:pPr>
            <w:r>
              <w:rPr>
                <w:rFonts w:hint="eastAsia"/>
              </w:rPr>
              <w:t>洗手盅、刀架、餐巾架</w:t>
            </w:r>
          </w:p>
        </w:tc>
        <w:tc>
          <w:tcPr>
            <w:tcW w:w="2152" w:type="dxa"/>
          </w:tcPr>
          <w:p w14:paraId="138FAB5B">
            <w:pPr>
              <w:spacing w:line="360" w:lineRule="auto"/>
            </w:pPr>
          </w:p>
        </w:tc>
        <w:tc>
          <w:tcPr>
            <w:tcW w:w="1988" w:type="dxa"/>
          </w:tcPr>
          <w:p w14:paraId="09AD7FE1">
            <w:pPr>
              <w:spacing w:line="360" w:lineRule="auto"/>
            </w:pPr>
            <w:r>
              <w:rPr>
                <w:rFonts w:hint="eastAsia"/>
              </w:rPr>
              <w:t xml:space="preserve">       +</w:t>
            </w:r>
          </w:p>
        </w:tc>
      </w:tr>
      <w:tr w14:paraId="68807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tcPr>
          <w:p w14:paraId="4EF80F5A">
            <w:pPr>
              <w:spacing w:line="360" w:lineRule="auto"/>
            </w:pPr>
            <w:r>
              <w:rPr>
                <w:rFonts w:hint="eastAsia"/>
              </w:rPr>
              <w:t>水杯、马克杯、高脚杯</w:t>
            </w:r>
          </w:p>
        </w:tc>
        <w:tc>
          <w:tcPr>
            <w:tcW w:w="2152" w:type="dxa"/>
          </w:tcPr>
          <w:p w14:paraId="1D71CB43">
            <w:pPr>
              <w:spacing w:line="360" w:lineRule="auto"/>
            </w:pPr>
            <w:r>
              <w:rPr>
                <w:rFonts w:hint="eastAsia"/>
              </w:rPr>
              <w:t xml:space="preserve">       +</w:t>
            </w:r>
          </w:p>
        </w:tc>
        <w:tc>
          <w:tcPr>
            <w:tcW w:w="1988" w:type="dxa"/>
          </w:tcPr>
          <w:p w14:paraId="318F7B78">
            <w:pPr>
              <w:spacing w:line="360" w:lineRule="auto"/>
            </w:pPr>
          </w:p>
        </w:tc>
      </w:tr>
      <w:tr w14:paraId="6EB94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tcPr>
          <w:p w14:paraId="229F67F1">
            <w:pPr>
              <w:spacing w:line="360" w:lineRule="auto"/>
            </w:pPr>
            <w:r>
              <w:rPr>
                <w:rFonts w:hint="eastAsia"/>
              </w:rPr>
              <w:t>碟子、杯垫、垫子、支架</w:t>
            </w:r>
          </w:p>
        </w:tc>
        <w:tc>
          <w:tcPr>
            <w:tcW w:w="2152" w:type="dxa"/>
          </w:tcPr>
          <w:p w14:paraId="58635008">
            <w:pPr>
              <w:spacing w:line="360" w:lineRule="auto"/>
            </w:pPr>
          </w:p>
        </w:tc>
        <w:tc>
          <w:tcPr>
            <w:tcW w:w="1988" w:type="dxa"/>
          </w:tcPr>
          <w:p w14:paraId="750227AF">
            <w:pPr>
              <w:spacing w:line="360" w:lineRule="auto"/>
            </w:pPr>
            <w:r>
              <w:rPr>
                <w:rFonts w:hint="eastAsia"/>
              </w:rPr>
              <w:t xml:space="preserve">       +</w:t>
            </w:r>
          </w:p>
        </w:tc>
      </w:tr>
      <w:tr w14:paraId="7ED76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tcPr>
          <w:p w14:paraId="555F85E0">
            <w:pPr>
              <w:spacing w:line="360" w:lineRule="auto"/>
            </w:pPr>
            <w:r>
              <w:rPr>
                <w:rFonts w:hint="eastAsia"/>
              </w:rPr>
              <w:t>茶壶、咖啡壶、过滤器</w:t>
            </w:r>
          </w:p>
        </w:tc>
        <w:tc>
          <w:tcPr>
            <w:tcW w:w="2152" w:type="dxa"/>
          </w:tcPr>
          <w:p w14:paraId="4C9FC102">
            <w:pPr>
              <w:spacing w:line="360" w:lineRule="auto"/>
            </w:pPr>
            <w:r>
              <w:rPr>
                <w:rFonts w:hint="eastAsia"/>
              </w:rPr>
              <w:t xml:space="preserve">       +</w:t>
            </w:r>
          </w:p>
        </w:tc>
        <w:tc>
          <w:tcPr>
            <w:tcW w:w="1988" w:type="dxa"/>
          </w:tcPr>
          <w:p w14:paraId="27BC5361">
            <w:pPr>
              <w:spacing w:line="360" w:lineRule="auto"/>
            </w:pPr>
          </w:p>
        </w:tc>
      </w:tr>
      <w:tr w14:paraId="521C2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tcPr>
          <w:p w14:paraId="28BFEDA7">
            <w:pPr>
              <w:spacing w:line="360" w:lineRule="auto"/>
            </w:pPr>
            <w:r>
              <w:rPr>
                <w:rFonts w:hint="eastAsia"/>
              </w:rPr>
              <w:t>水壶，水罐，长颈壶，船形调味碟</w:t>
            </w:r>
          </w:p>
        </w:tc>
        <w:tc>
          <w:tcPr>
            <w:tcW w:w="2152" w:type="dxa"/>
          </w:tcPr>
          <w:p w14:paraId="660CF037">
            <w:pPr>
              <w:spacing w:line="360" w:lineRule="auto"/>
              <w:jc w:val="center"/>
            </w:pPr>
            <w:r>
              <w:rPr>
                <w:rFonts w:hint="eastAsia"/>
              </w:rPr>
              <w:t>+</w:t>
            </w:r>
          </w:p>
        </w:tc>
        <w:tc>
          <w:tcPr>
            <w:tcW w:w="1988" w:type="dxa"/>
          </w:tcPr>
          <w:p w14:paraId="196851F0">
            <w:pPr>
              <w:spacing w:line="360" w:lineRule="auto"/>
            </w:pPr>
          </w:p>
        </w:tc>
      </w:tr>
      <w:tr w14:paraId="484DF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tcPr>
          <w:p w14:paraId="1C8AD200">
            <w:pPr>
              <w:spacing w:line="360" w:lineRule="auto"/>
            </w:pPr>
            <w:r>
              <w:rPr>
                <w:rFonts w:hint="eastAsia"/>
              </w:rPr>
              <w:t>调料盒</w:t>
            </w:r>
          </w:p>
        </w:tc>
        <w:tc>
          <w:tcPr>
            <w:tcW w:w="2152" w:type="dxa"/>
          </w:tcPr>
          <w:p w14:paraId="14A6FE14">
            <w:pPr>
              <w:spacing w:line="360" w:lineRule="auto"/>
              <w:jc w:val="center"/>
            </w:pPr>
            <w:r>
              <w:rPr>
                <w:rFonts w:hint="eastAsia"/>
              </w:rPr>
              <w:t>+</w:t>
            </w:r>
          </w:p>
        </w:tc>
        <w:tc>
          <w:tcPr>
            <w:tcW w:w="1988" w:type="dxa"/>
          </w:tcPr>
          <w:p w14:paraId="656E01F5">
            <w:pPr>
              <w:spacing w:line="360" w:lineRule="auto"/>
            </w:pPr>
          </w:p>
        </w:tc>
      </w:tr>
      <w:tr w14:paraId="1F1FC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tcPr>
          <w:p w14:paraId="7168009A">
            <w:pPr>
              <w:spacing w:line="360" w:lineRule="auto"/>
            </w:pPr>
            <w:r>
              <w:t>调味品</w:t>
            </w:r>
            <w:r>
              <w:rPr>
                <w:rFonts w:hint="eastAsia"/>
              </w:rPr>
              <w:t>和</w:t>
            </w:r>
            <w:r>
              <w:t>调味瓶架</w:t>
            </w:r>
          </w:p>
        </w:tc>
        <w:tc>
          <w:tcPr>
            <w:tcW w:w="2152" w:type="dxa"/>
          </w:tcPr>
          <w:p w14:paraId="3DEC1040">
            <w:pPr>
              <w:spacing w:line="360" w:lineRule="auto"/>
            </w:pPr>
          </w:p>
        </w:tc>
        <w:tc>
          <w:tcPr>
            <w:tcW w:w="1988" w:type="dxa"/>
          </w:tcPr>
          <w:p w14:paraId="24384E47">
            <w:pPr>
              <w:spacing w:line="360" w:lineRule="auto"/>
            </w:pPr>
            <w:r>
              <w:rPr>
                <w:rFonts w:hint="eastAsia"/>
              </w:rPr>
              <w:t xml:space="preserve">       +</w:t>
            </w:r>
          </w:p>
        </w:tc>
      </w:tr>
      <w:tr w14:paraId="102D1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tcPr>
          <w:p w14:paraId="219F6FB1">
            <w:pPr>
              <w:spacing w:line="360" w:lineRule="auto"/>
            </w:pPr>
            <w:r>
              <w:rPr>
                <w:rFonts w:hint="eastAsia"/>
              </w:rPr>
              <w:t>用于携带面包、水果和蔬菜的篮、碗和盘</w:t>
            </w:r>
          </w:p>
        </w:tc>
        <w:tc>
          <w:tcPr>
            <w:tcW w:w="2152" w:type="dxa"/>
          </w:tcPr>
          <w:p w14:paraId="7C8C9CBC">
            <w:pPr>
              <w:spacing w:line="360" w:lineRule="auto"/>
            </w:pPr>
            <w:r>
              <w:rPr>
                <w:rFonts w:hint="eastAsia"/>
              </w:rPr>
              <w:t xml:space="preserve">       +</w:t>
            </w:r>
          </w:p>
        </w:tc>
        <w:tc>
          <w:tcPr>
            <w:tcW w:w="1988" w:type="dxa"/>
          </w:tcPr>
          <w:p w14:paraId="3965C46B">
            <w:pPr>
              <w:spacing w:line="360" w:lineRule="auto"/>
            </w:pPr>
          </w:p>
        </w:tc>
      </w:tr>
      <w:tr w14:paraId="2E362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tcPr>
          <w:p w14:paraId="2D6E0E8C">
            <w:pPr>
              <w:spacing w:line="360" w:lineRule="auto"/>
            </w:pPr>
            <w:r>
              <w:rPr>
                <w:rFonts w:hint="eastAsia"/>
              </w:rPr>
              <w:t>食物夹、烤串签、坚果钳、食物剪、榨汁器、擦丝器</w:t>
            </w:r>
          </w:p>
        </w:tc>
        <w:tc>
          <w:tcPr>
            <w:tcW w:w="2152" w:type="dxa"/>
          </w:tcPr>
          <w:p w14:paraId="7230E9A6">
            <w:pPr>
              <w:spacing w:line="360" w:lineRule="auto"/>
            </w:pPr>
            <w:r>
              <w:rPr>
                <w:rFonts w:hint="eastAsia"/>
              </w:rPr>
              <w:t xml:space="preserve">       +</w:t>
            </w:r>
          </w:p>
        </w:tc>
        <w:tc>
          <w:tcPr>
            <w:tcW w:w="1988" w:type="dxa"/>
          </w:tcPr>
          <w:p w14:paraId="59806882">
            <w:pPr>
              <w:spacing w:line="360" w:lineRule="auto"/>
            </w:pPr>
          </w:p>
        </w:tc>
      </w:tr>
      <w:tr w14:paraId="692AC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tcPr>
          <w:p w14:paraId="6FDA4641">
            <w:pPr>
              <w:spacing w:line="360" w:lineRule="auto"/>
            </w:pPr>
            <w:r>
              <w:rPr>
                <w:rFonts w:hint="eastAsia"/>
              </w:rPr>
              <w:t>胡桃夹子，软木夹</w:t>
            </w:r>
          </w:p>
        </w:tc>
        <w:tc>
          <w:tcPr>
            <w:tcW w:w="2152" w:type="dxa"/>
          </w:tcPr>
          <w:p w14:paraId="23C628AC">
            <w:pPr>
              <w:spacing w:line="360" w:lineRule="auto"/>
            </w:pPr>
          </w:p>
        </w:tc>
        <w:tc>
          <w:tcPr>
            <w:tcW w:w="1988" w:type="dxa"/>
          </w:tcPr>
          <w:p w14:paraId="0413081C">
            <w:pPr>
              <w:spacing w:line="360" w:lineRule="auto"/>
            </w:pPr>
            <w:r>
              <w:rPr>
                <w:rFonts w:hint="eastAsia"/>
              </w:rPr>
              <w:t xml:space="preserve">       +</w:t>
            </w:r>
          </w:p>
        </w:tc>
      </w:tr>
      <w:tr w14:paraId="145AD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tcPr>
          <w:p w14:paraId="284BA00F">
            <w:pPr>
              <w:spacing w:line="360" w:lineRule="auto"/>
            </w:pPr>
            <w:r>
              <w:rPr>
                <w:rFonts w:hint="eastAsia"/>
              </w:rPr>
              <w:t>鸡尾调酒器、调制工具和服务工具</w:t>
            </w:r>
          </w:p>
        </w:tc>
        <w:tc>
          <w:tcPr>
            <w:tcW w:w="2152" w:type="dxa"/>
          </w:tcPr>
          <w:p w14:paraId="78482607">
            <w:pPr>
              <w:spacing w:line="360" w:lineRule="auto"/>
            </w:pPr>
            <w:r>
              <w:rPr>
                <w:rFonts w:hint="eastAsia"/>
              </w:rPr>
              <w:t xml:space="preserve">       +</w:t>
            </w:r>
          </w:p>
        </w:tc>
        <w:tc>
          <w:tcPr>
            <w:tcW w:w="1988" w:type="dxa"/>
          </w:tcPr>
          <w:p w14:paraId="02E7DECC">
            <w:pPr>
              <w:spacing w:line="360" w:lineRule="auto"/>
            </w:pPr>
          </w:p>
        </w:tc>
      </w:tr>
      <w:tr w14:paraId="0A216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tcPr>
          <w:p w14:paraId="7CBC85CE">
            <w:pPr>
              <w:spacing w:line="360" w:lineRule="auto"/>
            </w:pPr>
            <w:r>
              <w:t>酒瓶塞、</w:t>
            </w:r>
            <w:r>
              <w:rPr>
                <w:rFonts w:hint="eastAsia"/>
              </w:rPr>
              <w:t>倒酒嘴</w:t>
            </w:r>
            <w:r>
              <w:t>、品鉴与醒酒器具</w:t>
            </w:r>
          </w:p>
        </w:tc>
        <w:tc>
          <w:tcPr>
            <w:tcW w:w="2152" w:type="dxa"/>
          </w:tcPr>
          <w:p w14:paraId="6766252C">
            <w:pPr>
              <w:spacing w:line="360" w:lineRule="auto"/>
              <w:jc w:val="center"/>
            </w:pPr>
            <w:r>
              <w:rPr>
                <w:rFonts w:hint="eastAsia"/>
              </w:rPr>
              <w:t>+</w:t>
            </w:r>
          </w:p>
        </w:tc>
        <w:tc>
          <w:tcPr>
            <w:tcW w:w="1988" w:type="dxa"/>
          </w:tcPr>
          <w:p w14:paraId="54ACF435">
            <w:pPr>
              <w:spacing w:line="360" w:lineRule="auto"/>
            </w:pPr>
            <w:r>
              <w:rPr>
                <w:rFonts w:hint="eastAsia"/>
              </w:rPr>
              <w:t xml:space="preserve">      </w:t>
            </w:r>
          </w:p>
        </w:tc>
      </w:tr>
      <w:tr w14:paraId="13138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tcPr>
          <w:p w14:paraId="3F45622D">
            <w:pPr>
              <w:spacing w:line="360" w:lineRule="auto"/>
            </w:pPr>
            <w:r>
              <w:rPr>
                <w:rFonts w:hint="eastAsia"/>
              </w:rPr>
              <w:t>酒篮，酒桶，酒瓶托盘，酒架，开瓶器</w:t>
            </w:r>
          </w:p>
        </w:tc>
        <w:tc>
          <w:tcPr>
            <w:tcW w:w="2152" w:type="dxa"/>
          </w:tcPr>
          <w:p w14:paraId="63D430C3">
            <w:pPr>
              <w:spacing w:line="360" w:lineRule="auto"/>
            </w:pPr>
          </w:p>
        </w:tc>
        <w:tc>
          <w:tcPr>
            <w:tcW w:w="1988" w:type="dxa"/>
          </w:tcPr>
          <w:p w14:paraId="5E5F8F91">
            <w:pPr>
              <w:spacing w:line="360" w:lineRule="auto"/>
              <w:jc w:val="center"/>
            </w:pPr>
            <w:r>
              <w:rPr>
                <w:rFonts w:hint="eastAsia"/>
              </w:rPr>
              <w:t>+</w:t>
            </w:r>
          </w:p>
        </w:tc>
      </w:tr>
      <w:tr w14:paraId="04B8A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tcPr>
          <w:p w14:paraId="6F6DC2AF">
            <w:pPr>
              <w:spacing w:line="360" w:lineRule="auto"/>
            </w:pPr>
            <w:r>
              <w:rPr>
                <w:rFonts w:hint="eastAsia"/>
              </w:rPr>
              <w:t>座位卡、菜单架、餐桌用摆件</w:t>
            </w:r>
          </w:p>
        </w:tc>
        <w:tc>
          <w:tcPr>
            <w:tcW w:w="2152" w:type="dxa"/>
          </w:tcPr>
          <w:p w14:paraId="60D29BDF">
            <w:pPr>
              <w:spacing w:line="360" w:lineRule="auto"/>
            </w:pPr>
          </w:p>
        </w:tc>
        <w:tc>
          <w:tcPr>
            <w:tcW w:w="1988" w:type="dxa"/>
          </w:tcPr>
          <w:p w14:paraId="0AB2B439">
            <w:pPr>
              <w:spacing w:line="360" w:lineRule="auto"/>
            </w:pPr>
            <w:r>
              <w:rPr>
                <w:rFonts w:hint="eastAsia"/>
              </w:rPr>
              <w:t xml:space="preserve">       +</w:t>
            </w:r>
          </w:p>
        </w:tc>
      </w:tr>
      <w:tr w14:paraId="6DFFD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tcPr>
          <w:p w14:paraId="3BAB45CE">
            <w:pPr>
              <w:spacing w:line="360" w:lineRule="auto"/>
            </w:pPr>
            <w:r>
              <w:rPr>
                <w:rFonts w:hint="eastAsia"/>
              </w:rPr>
              <w:t>插花器</w:t>
            </w:r>
            <w:r>
              <w:t>、花瓶、铃铛、烛台、灯具</w:t>
            </w:r>
          </w:p>
        </w:tc>
        <w:tc>
          <w:tcPr>
            <w:tcW w:w="2152" w:type="dxa"/>
          </w:tcPr>
          <w:p w14:paraId="34A1C674">
            <w:pPr>
              <w:spacing w:line="360" w:lineRule="auto"/>
            </w:pPr>
          </w:p>
        </w:tc>
        <w:tc>
          <w:tcPr>
            <w:tcW w:w="1988" w:type="dxa"/>
          </w:tcPr>
          <w:p w14:paraId="3D472915">
            <w:pPr>
              <w:spacing w:line="360" w:lineRule="auto"/>
            </w:pPr>
            <w:r>
              <w:rPr>
                <w:rFonts w:hint="eastAsia"/>
              </w:rPr>
              <w:t xml:space="preserve">       +</w:t>
            </w:r>
          </w:p>
        </w:tc>
      </w:tr>
      <w:tr w14:paraId="28276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tcPr>
          <w:p w14:paraId="0AAADB44">
            <w:pPr>
              <w:spacing w:line="360" w:lineRule="auto"/>
            </w:pPr>
            <w:r>
              <w:rPr>
                <w:rFonts w:hint="eastAsia"/>
              </w:rPr>
              <w:t>加热板</w:t>
            </w:r>
          </w:p>
        </w:tc>
        <w:tc>
          <w:tcPr>
            <w:tcW w:w="2152" w:type="dxa"/>
          </w:tcPr>
          <w:p w14:paraId="57AA6325">
            <w:pPr>
              <w:spacing w:line="360" w:lineRule="auto"/>
            </w:pPr>
          </w:p>
        </w:tc>
        <w:tc>
          <w:tcPr>
            <w:tcW w:w="1988" w:type="dxa"/>
          </w:tcPr>
          <w:p w14:paraId="3EAA590F">
            <w:pPr>
              <w:spacing w:line="360" w:lineRule="auto"/>
            </w:pPr>
            <w:r>
              <w:rPr>
                <w:rFonts w:hint="eastAsia"/>
              </w:rPr>
              <w:t xml:space="preserve">       +</w:t>
            </w:r>
          </w:p>
        </w:tc>
      </w:tr>
      <w:tr w14:paraId="549B0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8" w:type="dxa"/>
          </w:tcPr>
          <w:p w14:paraId="0B9C601C">
            <w:pPr>
              <w:spacing w:line="360" w:lineRule="auto"/>
            </w:pPr>
            <w:r>
              <w:rPr>
                <w:rFonts w:hint="eastAsia"/>
              </w:rPr>
              <w:t>奖杯、展示板、相框</w:t>
            </w:r>
          </w:p>
        </w:tc>
        <w:tc>
          <w:tcPr>
            <w:tcW w:w="2152" w:type="dxa"/>
          </w:tcPr>
          <w:p w14:paraId="091FD04B">
            <w:pPr>
              <w:spacing w:line="360" w:lineRule="auto"/>
            </w:pPr>
          </w:p>
        </w:tc>
        <w:tc>
          <w:tcPr>
            <w:tcW w:w="1988" w:type="dxa"/>
          </w:tcPr>
          <w:p w14:paraId="2486709D">
            <w:pPr>
              <w:spacing w:line="360" w:lineRule="auto"/>
            </w:pPr>
            <w:r>
              <w:rPr>
                <w:rFonts w:hint="eastAsia"/>
              </w:rPr>
              <w:t xml:space="preserve">       +</w:t>
            </w:r>
          </w:p>
        </w:tc>
      </w:tr>
      <w:tr w14:paraId="20C1E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668" w:type="dxa"/>
            <w:gridSpan w:val="3"/>
          </w:tcPr>
          <w:p w14:paraId="5A5C44A2">
            <w:pPr>
              <w:spacing w:line="360" w:lineRule="auto"/>
            </w:pPr>
            <w:r>
              <w:rPr>
                <w:rFonts w:hint="eastAsia"/>
              </w:rPr>
              <w:t>注1）：如果无内层时</w:t>
            </w:r>
          </w:p>
        </w:tc>
      </w:tr>
    </w:tbl>
    <w:p w14:paraId="4A78F466">
      <w:pPr>
        <w:spacing w:line="360" w:lineRule="auto"/>
      </w:pPr>
    </w:p>
    <w:p w14:paraId="1D44CB64">
      <w:pPr>
        <w:spacing w:line="360" w:lineRule="auto"/>
        <w:jc w:val="center"/>
        <w:rPr>
          <w:rFonts w:hint="eastAsia" w:ascii="黑体" w:hAnsi="黑体" w:eastAsia="黑体"/>
        </w:rPr>
        <w:sectPr>
          <w:pgSz w:w="11906" w:h="16838"/>
          <w:pgMar w:top="567" w:right="1134" w:bottom="1134" w:left="1134" w:header="1418" w:footer="1134" w:gutter="284"/>
          <w:cols w:space="425" w:num="1"/>
          <w:formProt w:val="0"/>
          <w:docGrid w:linePitch="312" w:charSpace="0"/>
        </w:sectPr>
      </w:pPr>
    </w:p>
    <w:p w14:paraId="733B891A">
      <w:pPr>
        <w:spacing w:line="360" w:lineRule="auto"/>
        <w:jc w:val="center"/>
        <w:rPr>
          <w:rFonts w:hint="eastAsia" w:ascii="黑体" w:hAnsi="黑体" w:eastAsia="黑体"/>
        </w:rPr>
      </w:pPr>
      <w:r>
        <w:rPr>
          <w:rFonts w:hint="eastAsia" w:ascii="黑体" w:hAnsi="黑体" w:eastAsia="黑体"/>
        </w:rPr>
        <w:t>附录B</w:t>
      </w:r>
    </w:p>
    <w:p w14:paraId="4E07991D">
      <w:pPr>
        <w:spacing w:line="360" w:lineRule="auto"/>
        <w:jc w:val="center"/>
        <w:rPr>
          <w:rFonts w:hint="eastAsia" w:ascii="黑体" w:hAnsi="黑体" w:eastAsia="黑体"/>
        </w:rPr>
      </w:pPr>
      <w:r>
        <w:rPr>
          <w:rFonts w:hint="eastAsia" w:ascii="黑体" w:hAnsi="黑体" w:eastAsia="黑体"/>
        </w:rPr>
        <w:t>（资料性）</w:t>
      </w:r>
    </w:p>
    <w:p w14:paraId="1489D251">
      <w:pPr>
        <w:spacing w:line="360" w:lineRule="auto"/>
        <w:jc w:val="center"/>
        <w:rPr>
          <w:rFonts w:hint="eastAsia" w:ascii="黑体" w:hAnsi="黑体" w:eastAsia="黑体"/>
        </w:rPr>
      </w:pPr>
      <w:r>
        <w:rPr>
          <w:rFonts w:hint="eastAsia" w:ascii="黑体" w:hAnsi="黑体" w:eastAsia="黑体"/>
        </w:rPr>
        <w:t>参考文献</w:t>
      </w:r>
    </w:p>
    <w:p w14:paraId="06562CAB">
      <w:pPr>
        <w:spacing w:line="360" w:lineRule="auto"/>
      </w:pPr>
    </w:p>
    <w:p w14:paraId="32FC5B49">
      <w:pPr>
        <w:pStyle w:val="230"/>
        <w:numPr>
          <w:ilvl w:val="0"/>
          <w:numId w:val="37"/>
        </w:numPr>
        <w:spacing w:line="360" w:lineRule="auto"/>
        <w:ind w:firstLineChars="0"/>
      </w:pPr>
      <w:r>
        <w:rPr>
          <w:rFonts w:hint="eastAsia"/>
        </w:rPr>
        <w:t>EC89/109  1989年2月11日批准，工作手册EC1989第L40/38号，38页，为关注检验与食物接触器皿和材料问题的成员国间合法程序的协调委员会的指导说明</w:t>
      </w:r>
    </w:p>
    <w:p w14:paraId="1646DE15">
      <w:pPr>
        <w:pStyle w:val="230"/>
        <w:numPr>
          <w:ilvl w:val="0"/>
          <w:numId w:val="37"/>
        </w:numPr>
        <w:spacing w:line="360" w:lineRule="auto"/>
        <w:ind w:firstLineChars="0"/>
      </w:pPr>
      <w:r>
        <w:rPr>
          <w:rFonts w:hint="eastAsia"/>
        </w:rPr>
        <w:t>EC90/128  1992年6月23日批准，工作手册EC1992，第L168/21号对关注与食品接触的塑料和其制品相关的成员国间程序的协调委员会的指导说明。</w:t>
      </w:r>
    </w:p>
    <w:p w14:paraId="37C287F2">
      <w:pPr>
        <w:pStyle w:val="230"/>
        <w:numPr>
          <w:ilvl w:val="0"/>
          <w:numId w:val="37"/>
        </w:numPr>
        <w:spacing w:line="360" w:lineRule="auto"/>
        <w:ind w:firstLineChars="0"/>
      </w:pPr>
      <w:r>
        <w:rPr>
          <w:rFonts w:hint="eastAsia"/>
        </w:rPr>
        <w:t>欧洲标准</w:t>
      </w:r>
    </w:p>
    <w:p w14:paraId="3CE63138">
      <w:pPr>
        <w:spacing w:line="360" w:lineRule="auto"/>
        <w:ind w:firstLine="420" w:firstLineChars="200"/>
      </w:pPr>
      <w:r>
        <w:rPr>
          <w:rFonts w:hint="eastAsia"/>
        </w:rPr>
        <w:t>EN 10088-1：1995  不锈钢—第一部分：不锈钢分类  与食品接触材料和制品—家用器具抗机械洗碟机试验方法（WI：00194013）</w:t>
      </w:r>
    </w:p>
    <w:p w14:paraId="65FB172B">
      <w:pPr>
        <w:spacing w:line="360" w:lineRule="auto"/>
      </w:pPr>
    </w:p>
    <w:p w14:paraId="6CB4C70D">
      <w:pPr>
        <w:spacing w:line="360" w:lineRule="auto"/>
      </w:pPr>
    </w:p>
    <w:p w14:paraId="6E453648">
      <w:pPr>
        <w:spacing w:line="360" w:lineRule="auto"/>
      </w:pPr>
    </w:p>
    <w:p w14:paraId="70404C08">
      <w:pPr>
        <w:spacing w:line="360" w:lineRule="auto"/>
      </w:pPr>
    </w:p>
    <w:p w14:paraId="6DB1D40D">
      <w:pPr>
        <w:spacing w:line="360" w:lineRule="auto"/>
      </w:pPr>
    </w:p>
    <w:p w14:paraId="5A20EE62">
      <w:pPr>
        <w:spacing w:line="360" w:lineRule="auto"/>
      </w:pPr>
    </w:p>
    <w:p w14:paraId="3C660297">
      <w:pPr>
        <w:spacing w:line="360" w:lineRule="auto"/>
      </w:pPr>
    </w:p>
    <w:p w14:paraId="307E1E4B">
      <w:pPr>
        <w:spacing w:line="360" w:lineRule="auto"/>
      </w:pPr>
    </w:p>
    <w:p w14:paraId="715CE900">
      <w:pPr>
        <w:spacing w:line="360" w:lineRule="auto"/>
      </w:pPr>
    </w:p>
    <w:p w14:paraId="1463A954">
      <w:pPr>
        <w:spacing w:line="360" w:lineRule="auto"/>
      </w:pPr>
    </w:p>
    <w:p w14:paraId="4E63A699">
      <w:pPr>
        <w:spacing w:line="360" w:lineRule="auto"/>
      </w:pPr>
    </w:p>
    <w:p w14:paraId="5FFB266E">
      <w:pPr>
        <w:spacing w:line="360" w:lineRule="auto"/>
      </w:pPr>
    </w:p>
    <w:p w14:paraId="40FE248D">
      <w:pPr>
        <w:spacing w:line="360" w:lineRule="auto"/>
      </w:pPr>
    </w:p>
    <w:p w14:paraId="70CCFFD9">
      <w:pPr>
        <w:spacing w:line="360" w:lineRule="auto"/>
      </w:pPr>
    </w:p>
    <w:p w14:paraId="038024BE">
      <w:pPr>
        <w:spacing w:line="360" w:lineRule="auto"/>
      </w:pPr>
    </w:p>
    <w:p w14:paraId="660E38B4">
      <w:pPr>
        <w:spacing w:line="360" w:lineRule="auto"/>
      </w:pPr>
    </w:p>
    <w:p w14:paraId="4AA24D9F">
      <w:pPr>
        <w:spacing w:line="360" w:lineRule="auto"/>
      </w:pPr>
    </w:p>
    <w:p w14:paraId="4F88ACBF">
      <w:pPr>
        <w:spacing w:line="360" w:lineRule="auto"/>
      </w:pPr>
    </w:p>
    <w:p w14:paraId="4957E903">
      <w:pPr>
        <w:spacing w:line="360" w:lineRule="auto"/>
      </w:pPr>
    </w:p>
    <w:p w14:paraId="4C92F8D2">
      <w:pPr>
        <w:spacing w:line="360" w:lineRule="auto"/>
      </w:pPr>
    </w:p>
    <w:p w14:paraId="3D607D3C">
      <w:pPr>
        <w:spacing w:line="360" w:lineRule="auto"/>
      </w:pPr>
    </w:p>
    <w:p w14:paraId="39B144AF">
      <w:pPr>
        <w:spacing w:line="360" w:lineRule="auto"/>
      </w:pPr>
    </w:p>
    <w:p w14:paraId="60A4B7E7">
      <w:pPr>
        <w:spacing w:line="360" w:lineRule="auto"/>
      </w:pPr>
    </w:p>
    <w:p w14:paraId="2A2FF9F4">
      <w:pPr>
        <w:spacing w:line="360" w:lineRule="auto"/>
      </w:pPr>
    </w:p>
    <w:p w14:paraId="0D94C1BD">
      <w:pPr>
        <w:spacing w:line="360" w:lineRule="auto"/>
        <w:jc w:val="center"/>
        <w:rPr>
          <w:rFonts w:hint="eastAsia" w:ascii="黑体" w:hAnsi="黑体" w:eastAsia="黑体"/>
        </w:rPr>
        <w:sectPr>
          <w:pgSz w:w="11906" w:h="16838"/>
          <w:pgMar w:top="567" w:right="1134" w:bottom="1134" w:left="1134" w:header="1418" w:footer="1134" w:gutter="284"/>
          <w:cols w:space="425" w:num="1"/>
          <w:formProt w:val="0"/>
          <w:docGrid w:linePitch="312" w:charSpace="0"/>
        </w:sectPr>
      </w:pPr>
    </w:p>
    <w:p w14:paraId="1ED916B3">
      <w:pPr>
        <w:spacing w:line="360" w:lineRule="auto"/>
        <w:jc w:val="center"/>
        <w:rPr>
          <w:rFonts w:hint="eastAsia" w:ascii="黑体" w:hAnsi="黑体" w:eastAsia="黑体"/>
        </w:rPr>
      </w:pPr>
      <w:r>
        <w:rPr>
          <w:rFonts w:hint="eastAsia" w:ascii="黑体" w:hAnsi="黑体" w:eastAsia="黑体"/>
        </w:rPr>
        <w:t>附录C</w:t>
      </w:r>
    </w:p>
    <w:p w14:paraId="09489CDC">
      <w:pPr>
        <w:spacing w:line="360" w:lineRule="auto"/>
        <w:jc w:val="center"/>
        <w:rPr>
          <w:rFonts w:hint="eastAsia" w:ascii="黑体" w:hAnsi="黑体" w:eastAsia="黑体"/>
        </w:rPr>
      </w:pPr>
      <w:r>
        <w:rPr>
          <w:rFonts w:hint="eastAsia" w:ascii="黑体" w:hAnsi="黑体" w:eastAsia="黑体"/>
        </w:rPr>
        <w:t>（规范性）</w:t>
      </w:r>
    </w:p>
    <w:p w14:paraId="41B65081">
      <w:pPr>
        <w:spacing w:line="360" w:lineRule="auto"/>
        <w:jc w:val="center"/>
        <w:rPr>
          <w:rFonts w:hint="eastAsia" w:ascii="黑体" w:hAnsi="黑体" w:eastAsia="黑体"/>
        </w:rPr>
      </w:pPr>
      <w:r>
        <w:rPr>
          <w:rFonts w:hint="eastAsia" w:ascii="黑体" w:hAnsi="黑体" w:eastAsia="黑体"/>
        </w:rPr>
        <w:t>漆层耐划伤性试验方法</w:t>
      </w:r>
    </w:p>
    <w:p w14:paraId="0A3B41A1">
      <w:pPr>
        <w:spacing w:line="360" w:lineRule="auto"/>
      </w:pPr>
    </w:p>
    <w:p w14:paraId="1E516C05">
      <w:pPr>
        <w:spacing w:line="360" w:lineRule="auto"/>
        <w:rPr>
          <w:rFonts w:hint="eastAsia" w:ascii="黑体" w:hAnsi="黑体" w:eastAsia="黑体"/>
        </w:rPr>
      </w:pPr>
      <w:r>
        <w:rPr>
          <w:rFonts w:hint="eastAsia" w:ascii="黑体" w:hAnsi="黑体" w:eastAsia="黑体"/>
        </w:rPr>
        <w:t>C.1  原理</w:t>
      </w:r>
    </w:p>
    <w:p w14:paraId="34A9CDF0">
      <w:pPr>
        <w:spacing w:line="360" w:lineRule="auto"/>
        <w:ind w:firstLine="420"/>
      </w:pPr>
      <w:r>
        <w:t>将</w:t>
      </w:r>
      <w:r>
        <w:rPr>
          <w:rFonts w:hint="eastAsia"/>
        </w:rPr>
        <w:t>样件</w:t>
      </w:r>
      <w:r>
        <w:t>固定在水平面上，用毛毡垫进行机械摩擦，随后检查试样是否出现划伤。</w:t>
      </w:r>
    </w:p>
    <w:p w14:paraId="714E4D05">
      <w:pPr>
        <w:spacing w:line="360" w:lineRule="auto"/>
        <w:rPr>
          <w:rFonts w:hint="eastAsia" w:ascii="黑体" w:hAnsi="黑体" w:eastAsia="黑体"/>
        </w:rPr>
      </w:pPr>
      <w:r>
        <w:rPr>
          <w:rFonts w:hint="eastAsia" w:ascii="黑体" w:hAnsi="黑体" w:eastAsia="黑体"/>
        </w:rPr>
        <w:t>C.2  材料</w:t>
      </w:r>
    </w:p>
    <w:p w14:paraId="63EDBB0A">
      <w:pPr>
        <w:spacing w:line="360" w:lineRule="auto"/>
        <w:ind w:firstLine="420"/>
        <w:rPr>
          <w:vertAlign w:val="superscript"/>
        </w:rPr>
      </w:pPr>
      <w:r>
        <w:rPr>
          <w:rFonts w:hint="eastAsia"/>
        </w:rPr>
        <w:t>毛毡垫</w:t>
      </w:r>
      <w:r>
        <w:rPr>
          <w:rFonts w:hint="eastAsia"/>
          <w:vertAlign w:val="superscript"/>
        </w:rPr>
        <w:t>2）</w:t>
      </w:r>
      <w:r>
        <w:rPr>
          <w:rFonts w:hint="eastAsia"/>
        </w:rPr>
        <w:t>：</w:t>
      </w:r>
      <w:r>
        <w:t>由 100% 羊毛纤维制成，厚度为 3 mm ± 0.3 mm，密度为 0.36 g/cm³。</w:t>
      </w:r>
    </w:p>
    <w:p w14:paraId="322D6326">
      <w:pPr>
        <w:spacing w:line="360" w:lineRule="auto"/>
        <w:rPr>
          <w:rFonts w:hint="eastAsia" w:ascii="黑体" w:hAnsi="黑体" w:eastAsia="黑体"/>
        </w:rPr>
      </w:pPr>
      <w:r>
        <w:rPr>
          <w:rFonts w:hint="eastAsia" w:ascii="黑体" w:hAnsi="黑体" w:eastAsia="黑体"/>
        </w:rPr>
        <w:t>C.3  试验装置</w:t>
      </w:r>
    </w:p>
    <w:p w14:paraId="12416D98">
      <w:pPr>
        <w:spacing w:line="360" w:lineRule="auto"/>
        <w:ind w:firstLine="420"/>
      </w:pPr>
      <w:r>
        <w:t>适用仪器的示意图见图 C.1</w:t>
      </w:r>
      <w:r>
        <w:rPr>
          <w:rFonts w:hint="eastAsia"/>
        </w:rPr>
        <w:t>。</w:t>
      </w:r>
    </w:p>
    <w:p w14:paraId="731609F3">
      <w:pPr>
        <w:spacing w:line="360" w:lineRule="auto"/>
        <w:rPr>
          <w:rFonts w:hint="eastAsia" w:ascii="黑体" w:hAnsi="黑体" w:eastAsia="黑体"/>
        </w:rPr>
      </w:pPr>
      <w:r>
        <w:rPr>
          <w:rFonts w:hint="eastAsia" w:ascii="黑体" w:hAnsi="黑体" w:eastAsia="黑体"/>
        </w:rPr>
        <w:t>C.4  试验步骤</w:t>
      </w:r>
    </w:p>
    <w:p w14:paraId="2F88B626">
      <w:pPr>
        <w:spacing w:line="360" w:lineRule="auto"/>
        <w:ind w:firstLine="420"/>
      </w:pPr>
      <w:bookmarkStart w:id="69" w:name="_Hlk224304331"/>
      <w:r>
        <w:t>将试样 (3) 固定在水平面上。将毛毡垫 (2) 固定在水平</w:t>
      </w:r>
      <w:r>
        <w:rPr>
          <w:rFonts w:hint="eastAsia"/>
        </w:rPr>
        <w:t>滑道</w:t>
      </w:r>
      <w:r>
        <w:t xml:space="preserve"> (1) 上，使毛毡与试样的接触总面积为 3 cm²；施加</w:t>
      </w:r>
      <w:r>
        <w:rPr>
          <w:rFonts w:hint="eastAsia"/>
        </w:rPr>
        <w:t>负载</w:t>
      </w:r>
      <w:r>
        <w:t xml:space="preserve"> (6)，使毛毡垫所受总载荷为 10 N；通过减速电机 (5) 驱动偏心凸轮 (4) 旋转 100 次，使毛毡垫在试样表面往复运动。毛毡垫在每个方向上的移动距离应为 40 mm。</w:t>
      </w:r>
    </w:p>
    <w:bookmarkEnd w:id="69"/>
    <w:p w14:paraId="2AC0A7D9">
      <w:pPr>
        <w:spacing w:line="360" w:lineRule="auto"/>
        <w:rPr>
          <w:rFonts w:hint="eastAsia" w:ascii="黑体" w:hAnsi="黑体" w:eastAsia="黑体"/>
        </w:rPr>
      </w:pPr>
      <w:r>
        <w:rPr>
          <w:rFonts w:hint="eastAsia" w:ascii="黑体" w:hAnsi="黑体" w:eastAsia="黑体"/>
        </w:rPr>
        <w:t>C.5  评价</w:t>
      </w:r>
    </w:p>
    <w:p w14:paraId="3BF3F3B8">
      <w:pPr>
        <w:spacing w:line="360" w:lineRule="auto"/>
        <w:ind w:firstLine="420"/>
      </w:pPr>
      <w:bookmarkStart w:id="70" w:name="_Hlk224304395"/>
      <w:r>
        <w:t>通过转动试样表面以检查摩擦后的表面</w:t>
      </w:r>
      <w:r>
        <w:rPr>
          <w:rFonts w:hint="eastAsia"/>
        </w:rPr>
        <w:t>是否有划痕</w:t>
      </w:r>
      <w:r>
        <w:t>（见 5.2.4）。</w:t>
      </w:r>
      <w:r>
        <w:rPr>
          <w:rFonts w:hint="eastAsia"/>
        </w:rPr>
        <w:t>漆膜</w:t>
      </w:r>
      <w:r>
        <w:t>应无划伤，或仅存在不超过轻微的零星划痕。</w:t>
      </w:r>
    </w:p>
    <w:bookmarkEnd w:id="70"/>
    <w:p w14:paraId="18D9A30D">
      <w:pPr>
        <w:spacing w:line="360" w:lineRule="auto"/>
      </w:pPr>
    </w:p>
    <w:p w14:paraId="7050EEF4">
      <w:pPr>
        <w:spacing w:line="360" w:lineRule="auto"/>
      </w:pPr>
    </w:p>
    <w:p w14:paraId="6BEC008C">
      <w:pPr>
        <w:pBdr>
          <w:bottom w:val="single" w:color="auto" w:sz="6" w:space="1"/>
        </w:pBdr>
        <w:spacing w:line="360" w:lineRule="auto"/>
      </w:pPr>
    </w:p>
    <w:p w14:paraId="57DDE914">
      <w:pPr>
        <w:spacing w:line="360" w:lineRule="auto"/>
      </w:pPr>
      <w:r>
        <w:rPr>
          <w:rFonts w:hint="eastAsia"/>
        </w:rPr>
        <w:t>2）毡垫：</w:t>
      </w:r>
      <w:r>
        <w:t>型号为 T22/O36、厚度 3 mm 的毛毡垫（由德国吉根市（D-89537）盖因根路 66 号，赫尔马林根 / 格施魏勒的 Vereinigte Filzfabriken AG 公司供应）是一种可商用的适用产品示例。提供此信息仅为方便本标准使用者，并不代表欧洲标准化委员会（CEN）对该产品的认可。</w:t>
      </w:r>
    </w:p>
    <w:p w14:paraId="77438598">
      <w:pPr>
        <w:spacing w:line="360" w:lineRule="auto"/>
      </w:pPr>
    </w:p>
    <w:p w14:paraId="7469168C">
      <w:pPr>
        <w:spacing w:line="360" w:lineRule="auto"/>
      </w:pPr>
    </w:p>
    <w:p w14:paraId="7E92DC49">
      <w:pPr>
        <w:spacing w:line="360" w:lineRule="auto"/>
      </w:pPr>
    </w:p>
    <w:p w14:paraId="6319DE38">
      <w:pPr>
        <w:spacing w:line="360" w:lineRule="auto"/>
      </w:pPr>
    </w:p>
    <w:p w14:paraId="726EF45D">
      <w:pPr>
        <w:spacing w:line="360" w:lineRule="auto"/>
      </w:pPr>
    </w:p>
    <w:p w14:paraId="25A194D0">
      <w:pPr>
        <w:spacing w:line="360" w:lineRule="auto"/>
      </w:pPr>
      <w:r>
        <w:drawing>
          <wp:inline distT="0" distB="0" distL="0" distR="0">
            <wp:extent cx="5279390" cy="3554095"/>
            <wp:effectExtent l="0" t="0" r="0" b="8255"/>
            <wp:docPr id="126768963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689637" name="图片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279390" cy="3554095"/>
                    </a:xfrm>
                    <a:prstGeom prst="rect">
                      <a:avLst/>
                    </a:prstGeom>
                    <a:noFill/>
                    <a:ln>
                      <a:noFill/>
                    </a:ln>
                  </pic:spPr>
                </pic:pic>
              </a:graphicData>
            </a:graphic>
          </wp:inline>
        </w:drawing>
      </w:r>
    </w:p>
    <w:p w14:paraId="42D6C14F">
      <w:pPr>
        <w:spacing w:line="360" w:lineRule="auto"/>
        <w:jc w:val="left"/>
      </w:pPr>
    </w:p>
    <w:p w14:paraId="43C2D40F">
      <w:pPr>
        <w:numPr>
          <w:ilvl w:val="0"/>
          <w:numId w:val="38"/>
        </w:numPr>
        <w:adjustRightInd/>
        <w:spacing w:line="360" w:lineRule="auto"/>
        <w:jc w:val="left"/>
      </w:pPr>
      <w:r>
        <w:rPr>
          <w:rFonts w:hint="eastAsia"/>
        </w:rPr>
        <w:t>滑道</w:t>
      </w:r>
    </w:p>
    <w:p w14:paraId="244E0D8E">
      <w:pPr>
        <w:numPr>
          <w:ilvl w:val="0"/>
          <w:numId w:val="38"/>
        </w:numPr>
        <w:adjustRightInd/>
        <w:spacing w:line="360" w:lineRule="auto"/>
        <w:jc w:val="left"/>
      </w:pPr>
      <w:r>
        <w:rPr>
          <w:rFonts w:hint="eastAsia"/>
        </w:rPr>
        <w:t>毛毡垫</w:t>
      </w:r>
    </w:p>
    <w:p w14:paraId="616ACCB6">
      <w:pPr>
        <w:numPr>
          <w:ilvl w:val="0"/>
          <w:numId w:val="38"/>
        </w:numPr>
        <w:adjustRightInd/>
        <w:spacing w:line="360" w:lineRule="auto"/>
        <w:jc w:val="left"/>
      </w:pPr>
      <w:r>
        <w:rPr>
          <w:rFonts w:hint="eastAsia"/>
        </w:rPr>
        <w:t>试样</w:t>
      </w:r>
    </w:p>
    <w:p w14:paraId="593C50EF">
      <w:pPr>
        <w:numPr>
          <w:ilvl w:val="0"/>
          <w:numId w:val="38"/>
        </w:numPr>
        <w:adjustRightInd/>
        <w:spacing w:line="360" w:lineRule="auto"/>
        <w:jc w:val="left"/>
      </w:pPr>
      <w:r>
        <w:rPr>
          <w:rFonts w:hint="eastAsia"/>
        </w:rPr>
        <w:t>偏心凸轮</w:t>
      </w:r>
    </w:p>
    <w:p w14:paraId="79F9D376">
      <w:pPr>
        <w:numPr>
          <w:ilvl w:val="0"/>
          <w:numId w:val="38"/>
        </w:numPr>
        <w:adjustRightInd/>
        <w:spacing w:line="360" w:lineRule="auto"/>
        <w:jc w:val="left"/>
      </w:pPr>
      <w:r>
        <w:rPr>
          <w:rFonts w:hint="eastAsia"/>
        </w:rPr>
        <w:t>减速电机</w:t>
      </w:r>
    </w:p>
    <w:p w14:paraId="003252A1">
      <w:pPr>
        <w:numPr>
          <w:ilvl w:val="0"/>
          <w:numId w:val="38"/>
        </w:numPr>
        <w:adjustRightInd/>
        <w:spacing w:line="360" w:lineRule="auto"/>
        <w:jc w:val="left"/>
      </w:pPr>
      <w:r>
        <w:rPr>
          <w:rFonts w:hint="eastAsia"/>
        </w:rPr>
        <w:t>负载</w:t>
      </w:r>
    </w:p>
    <w:p w14:paraId="2598883D">
      <w:pPr>
        <w:spacing w:line="360" w:lineRule="auto"/>
        <w:jc w:val="left"/>
      </w:pPr>
      <w:r>
        <w:rPr>
          <w:rFonts w:hint="eastAsia"/>
        </w:rPr>
        <w:t>注：不计刻度</w:t>
      </w:r>
    </w:p>
    <w:p w14:paraId="67AF43E8">
      <w:pPr>
        <w:spacing w:line="360" w:lineRule="auto"/>
        <w:jc w:val="center"/>
      </w:pPr>
    </w:p>
    <w:p w14:paraId="49CD08E7">
      <w:pPr>
        <w:spacing w:line="360" w:lineRule="auto"/>
        <w:jc w:val="center"/>
        <w:rPr>
          <w:rFonts w:hint="eastAsia" w:ascii="黑体" w:hAnsi="黑体" w:eastAsia="黑体"/>
        </w:rPr>
      </w:pPr>
      <w:bookmarkStart w:id="71" w:name="_Hlk224304478"/>
      <w:r>
        <w:rPr>
          <w:rFonts w:hint="eastAsia" w:ascii="黑体" w:hAnsi="黑体" w:eastAsia="黑体"/>
        </w:rPr>
        <w:t>图 C.1 适用耐划伤性试验装置的机构示意图</w:t>
      </w:r>
      <w:bookmarkEnd w:id="71"/>
    </w:p>
    <w:p w14:paraId="59DB55CA">
      <w:pPr>
        <w:spacing w:line="360" w:lineRule="auto"/>
      </w:pPr>
    </w:p>
    <w:p w14:paraId="4E771859">
      <w:pPr>
        <w:spacing w:line="360" w:lineRule="auto"/>
      </w:pPr>
    </w:p>
    <w:p w14:paraId="49EDF2BC">
      <w:pPr>
        <w:spacing w:line="360" w:lineRule="auto"/>
      </w:pPr>
    </w:p>
    <w:p w14:paraId="4885FF6C">
      <w:pPr>
        <w:spacing w:line="360" w:lineRule="auto"/>
      </w:pPr>
    </w:p>
    <w:p w14:paraId="57A4A601">
      <w:pPr>
        <w:spacing w:line="360" w:lineRule="auto"/>
      </w:pPr>
    </w:p>
    <w:p w14:paraId="6281510C">
      <w:pPr>
        <w:spacing w:line="360" w:lineRule="auto"/>
      </w:pPr>
    </w:p>
    <w:p w14:paraId="160F2DA7">
      <w:pPr>
        <w:spacing w:line="360" w:lineRule="auto"/>
      </w:pPr>
    </w:p>
    <w:p w14:paraId="5F570F8C">
      <w:pPr>
        <w:spacing w:line="360" w:lineRule="auto"/>
      </w:pPr>
    </w:p>
    <w:p w14:paraId="29FC4A53">
      <w:pPr>
        <w:spacing w:line="360" w:lineRule="auto"/>
      </w:pPr>
    </w:p>
    <w:p w14:paraId="4EBC0B2C">
      <w:pPr>
        <w:spacing w:line="360" w:lineRule="auto"/>
      </w:pPr>
    </w:p>
    <w:p w14:paraId="1F057998">
      <w:pPr>
        <w:spacing w:line="360" w:lineRule="auto"/>
        <w:jc w:val="center"/>
        <w:rPr>
          <w:rFonts w:hint="eastAsia" w:ascii="黑体" w:hAnsi="黑体" w:eastAsia="黑体"/>
        </w:rPr>
        <w:sectPr>
          <w:pgSz w:w="11906" w:h="16838"/>
          <w:pgMar w:top="567" w:right="1134" w:bottom="1134" w:left="1134" w:header="1418" w:footer="1134" w:gutter="284"/>
          <w:cols w:space="425" w:num="1"/>
          <w:formProt w:val="0"/>
          <w:docGrid w:linePitch="312" w:charSpace="0"/>
        </w:sectPr>
      </w:pPr>
    </w:p>
    <w:p w14:paraId="30167132">
      <w:pPr>
        <w:spacing w:line="360" w:lineRule="auto"/>
        <w:jc w:val="center"/>
        <w:rPr>
          <w:rFonts w:hint="eastAsia" w:ascii="黑体" w:hAnsi="黑体" w:eastAsia="黑体"/>
        </w:rPr>
      </w:pPr>
      <w:r>
        <w:rPr>
          <w:rFonts w:hint="eastAsia" w:ascii="黑体" w:hAnsi="黑体" w:eastAsia="黑体"/>
        </w:rPr>
        <w:t>附录D</w:t>
      </w:r>
    </w:p>
    <w:p w14:paraId="68014EBF">
      <w:pPr>
        <w:spacing w:line="360" w:lineRule="auto"/>
        <w:jc w:val="center"/>
        <w:rPr>
          <w:rFonts w:hint="eastAsia" w:ascii="黑体" w:hAnsi="黑体" w:eastAsia="黑体"/>
        </w:rPr>
      </w:pPr>
      <w:r>
        <w:rPr>
          <w:rFonts w:hint="eastAsia" w:ascii="黑体" w:hAnsi="黑体" w:eastAsia="黑体"/>
        </w:rPr>
        <w:t>（规范性）</w:t>
      </w:r>
    </w:p>
    <w:p w14:paraId="1536EF73">
      <w:pPr>
        <w:spacing w:line="360" w:lineRule="auto"/>
        <w:jc w:val="center"/>
        <w:rPr>
          <w:rFonts w:hint="eastAsia" w:ascii="黑体" w:hAnsi="黑体" w:eastAsia="黑体"/>
        </w:rPr>
      </w:pPr>
      <w:r>
        <w:rPr>
          <w:rFonts w:hint="eastAsia" w:ascii="黑体" w:hAnsi="黑体" w:eastAsia="黑体"/>
        </w:rPr>
        <w:t>漆层耐紫外线辐射试验方法</w:t>
      </w:r>
    </w:p>
    <w:p w14:paraId="778CBE21">
      <w:pPr>
        <w:spacing w:line="360" w:lineRule="auto"/>
      </w:pPr>
    </w:p>
    <w:p w14:paraId="6D66F065">
      <w:pPr>
        <w:spacing w:line="360" w:lineRule="auto"/>
        <w:rPr>
          <w:rFonts w:hint="eastAsia" w:ascii="黑体" w:hAnsi="黑体" w:eastAsia="黑体"/>
        </w:rPr>
      </w:pPr>
      <w:r>
        <w:rPr>
          <w:rFonts w:hint="eastAsia" w:ascii="黑体" w:hAnsi="黑体" w:eastAsia="黑体"/>
        </w:rPr>
        <w:t>D.1  原理</w:t>
      </w:r>
    </w:p>
    <w:p w14:paraId="21214F00">
      <w:pPr>
        <w:spacing w:line="360" w:lineRule="auto"/>
        <w:ind w:firstLine="420"/>
      </w:pPr>
      <w:bookmarkStart w:id="72" w:name="_Hlk224304916"/>
      <w:r>
        <w:t>将镀银餐具及装饰用空心器皿，用波长为 366 nm、功率为 180 W 的点光源灯进行 80 小时的辐照试验。</w:t>
      </w:r>
    </w:p>
    <w:bookmarkEnd w:id="72"/>
    <w:p w14:paraId="15E073AA">
      <w:pPr>
        <w:spacing w:line="360" w:lineRule="auto"/>
        <w:rPr>
          <w:rFonts w:hint="eastAsia" w:ascii="黑体" w:hAnsi="黑体" w:eastAsia="黑体"/>
        </w:rPr>
      </w:pPr>
      <w:r>
        <w:rPr>
          <w:rFonts w:hint="eastAsia" w:ascii="黑体" w:hAnsi="黑体" w:eastAsia="黑体"/>
        </w:rPr>
        <w:t>D.2  试验装置</w:t>
      </w:r>
    </w:p>
    <w:p w14:paraId="5EC2113B">
      <w:pPr>
        <w:spacing w:line="360" w:lineRule="auto"/>
        <w:ind w:firstLine="420"/>
      </w:pPr>
      <w:bookmarkStart w:id="73" w:name="_Hlk224304972"/>
      <w:r>
        <w:t>可提供波长为 366 nm、功率为 180 W 的紫外线辐射，并能持续工作 80 小时的灯具。³)</w:t>
      </w:r>
    </w:p>
    <w:bookmarkEnd w:id="73"/>
    <w:p w14:paraId="561BE16B">
      <w:pPr>
        <w:spacing w:line="360" w:lineRule="auto"/>
        <w:rPr>
          <w:rFonts w:hint="eastAsia" w:ascii="黑体" w:hAnsi="黑体" w:eastAsia="黑体"/>
        </w:rPr>
      </w:pPr>
      <w:r>
        <w:rPr>
          <w:rFonts w:hint="eastAsia" w:ascii="黑体" w:hAnsi="黑体" w:eastAsia="黑体"/>
        </w:rPr>
        <w:t>D.3  试验步骤</w:t>
      </w:r>
    </w:p>
    <w:p w14:paraId="06A3AFAC">
      <w:pPr>
        <w:spacing w:line="360" w:lineRule="auto"/>
        <w:ind w:firstLine="420"/>
      </w:pPr>
      <w:bookmarkStart w:id="74" w:name="_Hlk224304993"/>
      <w:r>
        <w:t>遮盖试样的一半，使其不受紫外线辐射。将试样未遮盖的一半暴露于紫外线辐射下 80 小时。</w:t>
      </w:r>
    </w:p>
    <w:bookmarkEnd w:id="74"/>
    <w:p w14:paraId="50971F3E">
      <w:pPr>
        <w:spacing w:line="360" w:lineRule="auto"/>
        <w:rPr>
          <w:rFonts w:hint="eastAsia" w:ascii="黑体" w:hAnsi="黑体" w:eastAsia="黑体"/>
        </w:rPr>
      </w:pPr>
      <w:r>
        <w:rPr>
          <w:rFonts w:hint="eastAsia" w:ascii="黑体" w:hAnsi="黑体" w:eastAsia="黑体"/>
        </w:rPr>
        <w:t>D.4  评价</w:t>
      </w:r>
    </w:p>
    <w:p w14:paraId="50966B7C">
      <w:pPr>
        <w:spacing w:line="360" w:lineRule="auto"/>
        <w:ind w:firstLine="420"/>
      </w:pPr>
      <w:bookmarkStart w:id="75" w:name="_Hlk224305005"/>
      <w:r>
        <w:t>试验结束后，与遮盖部分相比，受辐照表面不得出现可察觉的黄变</w:t>
      </w:r>
      <w:r>
        <w:rPr>
          <w:rFonts w:hint="eastAsia"/>
        </w:rPr>
        <w:t xml:space="preserve">。   </w:t>
      </w:r>
    </w:p>
    <w:bookmarkEnd w:id="75"/>
    <w:p w14:paraId="35A64558">
      <w:pPr>
        <w:spacing w:line="360" w:lineRule="auto"/>
      </w:pPr>
    </w:p>
    <w:p w14:paraId="46BF1DE1">
      <w:pPr>
        <w:spacing w:line="360" w:lineRule="auto"/>
      </w:pPr>
    </w:p>
    <w:p w14:paraId="2CEA2392">
      <w:pPr>
        <w:spacing w:line="360" w:lineRule="auto"/>
      </w:pPr>
    </w:p>
    <w:p w14:paraId="2D6361EB">
      <w:pPr>
        <w:pBdr>
          <w:bottom w:val="single" w:color="auto" w:sz="6" w:space="1"/>
        </w:pBdr>
        <w:spacing w:line="360" w:lineRule="auto"/>
      </w:pPr>
    </w:p>
    <w:p w14:paraId="58B051F5">
      <w:pPr>
        <w:spacing w:line="360" w:lineRule="auto"/>
      </w:pPr>
    </w:p>
    <w:p w14:paraId="7F44F8D2">
      <w:pPr>
        <w:spacing w:line="360" w:lineRule="auto"/>
        <w:rPr>
          <w:highlight w:val="yellow"/>
        </w:rPr>
      </w:pPr>
      <w:r>
        <w:rPr>
          <w:rFonts w:hint="eastAsia"/>
        </w:rPr>
        <w:t>3）</w:t>
      </w:r>
      <w:r>
        <w:t>由德国哈瑙市（63457）邮政信箱 1553 号的贺利氏有限公司（Heraeus GmbH）生产的 Fluotest Forte® 是一种适用的市售产品示例。提供此信息仅为方便本标准使用者，并不代表欧洲标准化委员会（CEN）对该产品的认可。</w:t>
      </w:r>
    </w:p>
    <w:p w14:paraId="140A81CF">
      <w:pPr>
        <w:spacing w:line="360" w:lineRule="auto"/>
      </w:pPr>
    </w:p>
    <w:p w14:paraId="72229CDE">
      <w:pPr>
        <w:spacing w:line="360" w:lineRule="auto"/>
      </w:pPr>
    </w:p>
    <w:p w14:paraId="34E8D31B">
      <w:pPr>
        <w:spacing w:line="360" w:lineRule="auto"/>
      </w:pPr>
    </w:p>
    <w:p w14:paraId="62F7805C">
      <w:pPr>
        <w:spacing w:line="360" w:lineRule="auto"/>
      </w:pPr>
    </w:p>
    <w:p w14:paraId="4C042330">
      <w:pPr>
        <w:spacing w:line="360" w:lineRule="auto"/>
      </w:pPr>
    </w:p>
    <w:p w14:paraId="55C6B324">
      <w:pPr>
        <w:spacing w:line="360" w:lineRule="auto"/>
      </w:pPr>
    </w:p>
    <w:p w14:paraId="42D34997">
      <w:pPr>
        <w:spacing w:line="360" w:lineRule="auto"/>
      </w:pPr>
    </w:p>
    <w:p w14:paraId="3EBAF3B5">
      <w:pPr>
        <w:spacing w:line="360" w:lineRule="auto"/>
      </w:pPr>
    </w:p>
    <w:p w14:paraId="25243608">
      <w:pPr>
        <w:spacing w:line="360" w:lineRule="auto"/>
      </w:pPr>
    </w:p>
    <w:p w14:paraId="79398B1F">
      <w:pPr>
        <w:spacing w:line="360" w:lineRule="auto"/>
      </w:pPr>
    </w:p>
    <w:p w14:paraId="2F9B29A3">
      <w:pPr>
        <w:spacing w:line="360" w:lineRule="auto"/>
      </w:pPr>
    </w:p>
    <w:p w14:paraId="6E9911FA">
      <w:pPr>
        <w:spacing w:line="360" w:lineRule="auto"/>
      </w:pPr>
    </w:p>
    <w:p w14:paraId="015393C4">
      <w:pPr>
        <w:spacing w:line="360" w:lineRule="auto"/>
      </w:pPr>
    </w:p>
    <w:p w14:paraId="7E588810">
      <w:pPr>
        <w:spacing w:line="360" w:lineRule="auto"/>
      </w:pPr>
    </w:p>
    <w:p w14:paraId="2568C10E">
      <w:pPr>
        <w:spacing w:line="360" w:lineRule="auto"/>
        <w:jc w:val="center"/>
        <w:rPr>
          <w:rFonts w:hint="eastAsia" w:ascii="黑体" w:hAnsi="黑体" w:eastAsia="黑体"/>
        </w:rPr>
        <w:sectPr>
          <w:pgSz w:w="11906" w:h="16838"/>
          <w:pgMar w:top="567" w:right="1134" w:bottom="1134" w:left="1134" w:header="1418" w:footer="1134" w:gutter="284"/>
          <w:cols w:space="425" w:num="1"/>
          <w:formProt w:val="0"/>
          <w:docGrid w:linePitch="312" w:charSpace="0"/>
        </w:sectPr>
      </w:pPr>
    </w:p>
    <w:p w14:paraId="3EC3030A">
      <w:pPr>
        <w:spacing w:line="360" w:lineRule="auto"/>
        <w:jc w:val="center"/>
        <w:rPr>
          <w:rFonts w:hint="eastAsia" w:ascii="黑体" w:hAnsi="黑体" w:eastAsia="黑体"/>
        </w:rPr>
      </w:pPr>
      <w:r>
        <w:rPr>
          <w:rFonts w:hint="eastAsia" w:ascii="黑体" w:hAnsi="黑体" w:eastAsia="黑体"/>
        </w:rPr>
        <w:t>附录E</w:t>
      </w:r>
    </w:p>
    <w:p w14:paraId="5A585F03">
      <w:pPr>
        <w:spacing w:line="360" w:lineRule="auto"/>
        <w:jc w:val="center"/>
        <w:rPr>
          <w:rFonts w:hint="eastAsia" w:ascii="黑体" w:hAnsi="黑体" w:eastAsia="黑体"/>
        </w:rPr>
      </w:pPr>
      <w:r>
        <w:rPr>
          <w:rFonts w:hint="eastAsia" w:ascii="黑体" w:hAnsi="黑体" w:eastAsia="黑体"/>
        </w:rPr>
        <w:t>（规范性）</w:t>
      </w:r>
    </w:p>
    <w:p w14:paraId="0B41E1C4">
      <w:pPr>
        <w:spacing w:line="360" w:lineRule="auto"/>
        <w:jc w:val="center"/>
        <w:rPr>
          <w:rFonts w:hint="eastAsia" w:ascii="黑体" w:hAnsi="黑体" w:eastAsia="黑体"/>
        </w:rPr>
      </w:pPr>
      <w:bookmarkStart w:id="76" w:name="_Hlk224305101"/>
      <w:r>
        <w:rPr>
          <w:rFonts w:hint="eastAsia" w:ascii="黑体" w:hAnsi="黑体" w:eastAsia="黑体"/>
        </w:rPr>
        <w:t>矩形、方形碟和盘抗扭强度试验方法</w:t>
      </w:r>
      <w:bookmarkEnd w:id="76"/>
    </w:p>
    <w:p w14:paraId="797ED05A">
      <w:pPr>
        <w:spacing w:line="360" w:lineRule="auto"/>
      </w:pPr>
    </w:p>
    <w:p w14:paraId="110BF6B9">
      <w:pPr>
        <w:spacing w:line="360" w:lineRule="auto"/>
        <w:rPr>
          <w:rFonts w:hint="eastAsia" w:ascii="黑体" w:hAnsi="黑体" w:eastAsia="黑体"/>
        </w:rPr>
      </w:pPr>
      <w:r>
        <w:rPr>
          <w:rFonts w:hint="eastAsia" w:ascii="黑体" w:hAnsi="黑体" w:eastAsia="黑体"/>
        </w:rPr>
        <w:t>E.1  原理</w:t>
      </w:r>
    </w:p>
    <w:p w14:paraId="1304CB96">
      <w:pPr>
        <w:spacing w:line="360" w:lineRule="auto"/>
        <w:ind w:firstLine="420"/>
      </w:pPr>
      <w:bookmarkStart w:id="77" w:name="_Hlk224305118"/>
      <w:r>
        <w:rPr>
          <w:rFonts w:hint="eastAsia"/>
        </w:rPr>
        <w:t>检查矩形、方形碟和盘在正常使用中施加负载时可能发生的形变量。</w:t>
      </w:r>
    </w:p>
    <w:bookmarkEnd w:id="77"/>
    <w:p w14:paraId="3A02EBB2">
      <w:pPr>
        <w:spacing w:line="360" w:lineRule="auto"/>
        <w:rPr>
          <w:rFonts w:hint="eastAsia" w:ascii="黑体" w:hAnsi="黑体" w:eastAsia="黑体"/>
        </w:rPr>
      </w:pPr>
      <w:r>
        <w:rPr>
          <w:rFonts w:hint="eastAsia" w:ascii="黑体" w:hAnsi="黑体" w:eastAsia="黑体"/>
        </w:rPr>
        <w:t>E.2  试验装置</w:t>
      </w:r>
    </w:p>
    <w:p w14:paraId="1D18D9F7">
      <w:pPr>
        <w:spacing w:line="360" w:lineRule="auto"/>
      </w:pPr>
      <w:r>
        <w:rPr>
          <w:rFonts w:hint="eastAsia"/>
        </w:rPr>
        <w:t xml:space="preserve">E.2.1  支撑杆  </w:t>
      </w:r>
      <w:bookmarkStart w:id="78" w:name="_Hlk224305157"/>
      <w:r>
        <w:rPr>
          <w:rFonts w:hint="eastAsia"/>
        </w:rPr>
        <w:t>边长70mm</w:t>
      </w:r>
      <w:r>
        <w:rPr>
          <w:rFonts w:hint="eastAsia" w:ascii="宋体"/>
        </w:rPr>
        <w:t>±</w:t>
      </w:r>
      <w:r>
        <w:rPr>
          <w:rFonts w:hint="eastAsia"/>
        </w:rPr>
        <w:t>5mm的刚性方杆。</w:t>
      </w:r>
      <w:bookmarkEnd w:id="78"/>
    </w:p>
    <w:p w14:paraId="5D6EAB73">
      <w:pPr>
        <w:spacing w:line="360" w:lineRule="auto"/>
      </w:pPr>
      <w:r>
        <w:rPr>
          <w:rFonts w:hint="eastAsia"/>
        </w:rPr>
        <w:t>E.2.2  负载  直径为80mm</w:t>
      </w:r>
      <w:r>
        <w:rPr>
          <w:rFonts w:hint="eastAsia" w:ascii="宋体"/>
        </w:rPr>
        <w:t>±</w:t>
      </w:r>
      <w:r>
        <w:rPr>
          <w:rFonts w:hint="eastAsia"/>
        </w:rPr>
        <w:t>5mm，质量为2.5kg</w:t>
      </w:r>
      <w:r>
        <w:rPr>
          <w:rFonts w:hint="eastAsia" w:ascii="宋体"/>
        </w:rPr>
        <w:t>±</w:t>
      </w:r>
      <w:r>
        <w:rPr>
          <w:rFonts w:hint="eastAsia"/>
        </w:rPr>
        <w:t>0.1kg的圆柱形砝码。</w:t>
      </w:r>
    </w:p>
    <w:p w14:paraId="79B448FE">
      <w:pPr>
        <w:spacing w:line="360" w:lineRule="auto"/>
        <w:ind w:firstLine="420"/>
      </w:pPr>
      <w:bookmarkStart w:id="79" w:name="_Hlk224305202"/>
      <w:r>
        <w:rPr>
          <w:rFonts w:hint="eastAsia"/>
        </w:rPr>
        <w:t>注：支撑杆、负载与样件的接触面可覆盖毛毡或粗呢后以减少对镀层表面的划伤。</w:t>
      </w:r>
    </w:p>
    <w:bookmarkEnd w:id="79"/>
    <w:p w14:paraId="14613FE6">
      <w:pPr>
        <w:spacing w:line="360" w:lineRule="auto"/>
        <w:rPr>
          <w:rFonts w:hint="eastAsia" w:ascii="黑体" w:hAnsi="黑体" w:eastAsia="黑体"/>
        </w:rPr>
      </w:pPr>
      <w:r>
        <w:rPr>
          <w:rFonts w:hint="eastAsia" w:ascii="黑体" w:hAnsi="黑体" w:eastAsia="黑体"/>
        </w:rPr>
        <w:t>E.3  试验步骤</w:t>
      </w:r>
    </w:p>
    <w:p w14:paraId="71DD0556">
      <w:pPr>
        <w:spacing w:line="360" w:lineRule="auto"/>
      </w:pPr>
      <w:bookmarkStart w:id="80" w:name="_Hlk224305221"/>
      <w:r>
        <w:rPr>
          <w:rFonts w:hint="eastAsia"/>
        </w:rPr>
        <w:t>E.3.1  沿样件的对角线方向放置支撑杆，然后在另一条对角线的两端施加两个负载，如图E1所示，经过不少于30s后，测量并记录样件受载表面的弹性形变量。</w:t>
      </w:r>
    </w:p>
    <w:p w14:paraId="4722A994">
      <w:pPr>
        <w:spacing w:line="360" w:lineRule="auto"/>
      </w:pPr>
      <w:r>
        <w:rPr>
          <w:rFonts w:hint="eastAsia"/>
        </w:rPr>
        <w:t>E.3.2  将支撑杆移动到样件的另一对角线上，重复试验。</w:t>
      </w:r>
    </w:p>
    <w:bookmarkEnd w:id="80"/>
    <w:p w14:paraId="17D07DFE">
      <w:pPr>
        <w:spacing w:line="360" w:lineRule="auto"/>
      </w:pPr>
    </w:p>
    <w:p w14:paraId="347E29FA">
      <w:pPr>
        <w:spacing w:line="360" w:lineRule="auto"/>
      </w:pPr>
    </w:p>
    <w:p w14:paraId="671D3834">
      <w:pPr>
        <w:spacing w:line="360" w:lineRule="auto"/>
        <w:jc w:val="center"/>
      </w:pPr>
      <w:r>
        <w:drawing>
          <wp:inline distT="0" distB="0" distL="0" distR="0">
            <wp:extent cx="4815840" cy="5636895"/>
            <wp:effectExtent l="0" t="0" r="3810" b="1905"/>
            <wp:docPr id="24318678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186783" name="图片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4825404" cy="5647850"/>
                    </a:xfrm>
                    <a:prstGeom prst="rect">
                      <a:avLst/>
                    </a:prstGeom>
                    <a:noFill/>
                    <a:ln>
                      <a:noFill/>
                    </a:ln>
                  </pic:spPr>
                </pic:pic>
              </a:graphicData>
            </a:graphic>
          </wp:inline>
        </w:drawing>
      </w:r>
    </w:p>
    <w:p w14:paraId="670221AB">
      <w:pPr>
        <w:spacing w:line="360" w:lineRule="auto"/>
        <w:rPr>
          <w:rFonts w:hint="eastAsia" w:ascii="黑体" w:hAnsi="黑体" w:eastAsia="黑体"/>
        </w:rPr>
      </w:pPr>
      <w:bookmarkStart w:id="81" w:name="_Hlk224305316"/>
      <w:r>
        <w:rPr>
          <w:rFonts w:hint="eastAsia"/>
        </w:rPr>
        <w:t>注：支撑棒紧靠在被测样本底平面边角上。</w:t>
      </w:r>
    </w:p>
    <w:p w14:paraId="57D283D9">
      <w:pPr>
        <w:spacing w:line="360" w:lineRule="auto"/>
        <w:jc w:val="center"/>
        <w:rPr>
          <w:rFonts w:hint="eastAsia" w:ascii="黑体" w:hAnsi="黑体" w:eastAsia="黑体"/>
        </w:rPr>
      </w:pPr>
      <w:r>
        <w:rPr>
          <w:rFonts w:hint="eastAsia" w:ascii="黑体" w:hAnsi="黑体" w:eastAsia="黑体"/>
        </w:rPr>
        <w:t>图E.1  矩形、方形碟和盘的抗扭强度试验</w:t>
      </w:r>
      <w:bookmarkEnd w:id="81"/>
    </w:p>
    <w:p w14:paraId="4218F6CC">
      <w:pPr>
        <w:spacing w:line="360" w:lineRule="auto"/>
      </w:pPr>
      <w:r>
        <w:rPr>
          <w:rFonts w:hint="eastAsia"/>
        </w:rPr>
        <w:t>E.3.3  结果表示</w:t>
      </w:r>
    </w:p>
    <w:p w14:paraId="52C0B737">
      <w:pPr>
        <w:spacing w:line="360" w:lineRule="auto"/>
        <w:ind w:firstLine="420"/>
      </w:pPr>
      <w:r>
        <w:rPr>
          <w:rFonts w:hint="eastAsia"/>
        </w:rPr>
        <w:t>按下列公式计算样件的形变量。</w:t>
      </w:r>
    </w:p>
    <w:p w14:paraId="4641A148">
      <w:pPr>
        <w:spacing w:line="360" w:lineRule="auto"/>
      </w:pPr>
      <w:r>
        <w:rPr>
          <w:rFonts w:hint="eastAsia"/>
        </w:rPr>
        <w:t xml:space="preserve">      100（a+b）</w:t>
      </w:r>
    </w:p>
    <w:p w14:paraId="5ED51B00">
      <w:pPr>
        <w:spacing w:line="360" w:lineRule="auto"/>
      </w:pPr>
      <w:r>
        <w:rPr>
          <w:rFonts w:hint="eastAsia"/>
        </w:rPr>
        <w:t xml:space="preserve">  </w:t>
      </w:r>
      <w:r>
        <w:t>d</w:t>
      </w:r>
      <w:r>
        <w:rPr>
          <w:rFonts w:hint="eastAsia"/>
        </w:rPr>
        <w:t>=————————</w:t>
      </w:r>
    </w:p>
    <w:p w14:paraId="3079B2A8">
      <w:pPr>
        <w:spacing w:line="360" w:lineRule="auto"/>
      </w:pPr>
      <w:r>
        <w:rPr>
          <w:rFonts w:hint="eastAsia"/>
        </w:rPr>
        <w:t xml:space="preserve">          L</w:t>
      </w:r>
    </w:p>
    <w:p w14:paraId="47C7A0D6">
      <w:pPr>
        <w:spacing w:line="360" w:lineRule="auto"/>
      </w:pPr>
      <w:r>
        <w:rPr>
          <w:rFonts w:hint="eastAsia"/>
        </w:rPr>
        <w:t xml:space="preserve">  其中：</w:t>
      </w:r>
    </w:p>
    <w:p w14:paraId="5072085C">
      <w:pPr>
        <w:spacing w:line="360" w:lineRule="auto"/>
      </w:pPr>
      <w:r>
        <w:rPr>
          <w:rFonts w:hint="eastAsia"/>
        </w:rPr>
        <w:t xml:space="preserve"> </w:t>
      </w:r>
      <w:bookmarkStart w:id="82" w:name="_Hlk224305255"/>
      <w:r>
        <w:rPr>
          <w:rFonts w:hint="eastAsia"/>
        </w:rPr>
        <w:t xml:space="preserve"> </w:t>
      </w:r>
      <w:r>
        <w:t>d</w:t>
      </w:r>
      <w:r>
        <w:rPr>
          <w:rFonts w:hint="eastAsia"/>
        </w:rPr>
        <w:t xml:space="preserve"> 是受载后样件的形变量，以被测样件每100mm长度的变形量mm表示（即mm/100mm）</w:t>
      </w:r>
    </w:p>
    <w:p w14:paraId="41B78A5D">
      <w:pPr>
        <w:spacing w:line="360" w:lineRule="auto"/>
      </w:pPr>
      <w:r>
        <w:rPr>
          <w:rFonts w:hint="eastAsia"/>
        </w:rPr>
        <w:t xml:space="preserve">  a 是a点受载后的弹性变形量</w:t>
      </w:r>
    </w:p>
    <w:p w14:paraId="3943DC90">
      <w:pPr>
        <w:spacing w:line="360" w:lineRule="auto"/>
      </w:pPr>
      <w:r>
        <w:rPr>
          <w:rFonts w:hint="eastAsia"/>
        </w:rPr>
        <w:t xml:space="preserve">  b 是b点受载后的弹性变形量</w:t>
      </w:r>
    </w:p>
    <w:p w14:paraId="7B7164CA">
      <w:pPr>
        <w:spacing w:line="360" w:lineRule="auto"/>
      </w:pPr>
      <w:r>
        <w:rPr>
          <w:rFonts w:hint="eastAsia"/>
        </w:rPr>
        <w:t xml:space="preserve">  L 是对角线长度</w:t>
      </w:r>
      <w:bookmarkEnd w:id="82"/>
    </w:p>
    <w:p w14:paraId="4834897A">
      <w:pPr>
        <w:spacing w:line="360" w:lineRule="auto"/>
        <w:jc w:val="center"/>
        <w:rPr>
          <w:rFonts w:hint="eastAsia" w:ascii="黑体" w:hAnsi="黑体" w:eastAsia="黑体"/>
        </w:rPr>
        <w:sectPr>
          <w:pgSz w:w="11906" w:h="16838"/>
          <w:pgMar w:top="567" w:right="1134" w:bottom="1134" w:left="1134" w:header="1418" w:footer="1134" w:gutter="284"/>
          <w:cols w:space="425" w:num="1"/>
          <w:formProt w:val="0"/>
          <w:docGrid w:linePitch="312" w:charSpace="0"/>
        </w:sectPr>
      </w:pPr>
    </w:p>
    <w:p w14:paraId="228ADCF9">
      <w:pPr>
        <w:spacing w:line="360" w:lineRule="auto"/>
        <w:jc w:val="center"/>
        <w:rPr>
          <w:rFonts w:hint="eastAsia" w:ascii="黑体" w:hAnsi="黑体" w:eastAsia="黑体"/>
        </w:rPr>
      </w:pPr>
      <w:r>
        <w:rPr>
          <w:rFonts w:hint="eastAsia" w:ascii="黑体" w:hAnsi="黑体" w:eastAsia="黑体"/>
        </w:rPr>
        <w:t>附录F</w:t>
      </w:r>
    </w:p>
    <w:p w14:paraId="444BF328">
      <w:pPr>
        <w:spacing w:line="360" w:lineRule="auto"/>
        <w:jc w:val="center"/>
        <w:rPr>
          <w:rFonts w:hint="eastAsia" w:ascii="黑体" w:hAnsi="黑体" w:eastAsia="黑体"/>
        </w:rPr>
      </w:pPr>
      <w:r>
        <w:rPr>
          <w:rFonts w:hint="eastAsia" w:ascii="黑体" w:hAnsi="黑体" w:eastAsia="黑体"/>
        </w:rPr>
        <w:t>（规范性）</w:t>
      </w:r>
    </w:p>
    <w:p w14:paraId="30BC0FF0">
      <w:pPr>
        <w:spacing w:line="360" w:lineRule="auto"/>
        <w:jc w:val="center"/>
        <w:rPr>
          <w:rFonts w:hint="eastAsia" w:ascii="黑体" w:hAnsi="黑体" w:eastAsia="黑体"/>
        </w:rPr>
      </w:pPr>
      <w:bookmarkStart w:id="83" w:name="_Hlk224305401"/>
      <w:r>
        <w:rPr>
          <w:rFonts w:hint="eastAsia" w:ascii="黑体" w:hAnsi="黑体" w:eastAsia="黑体"/>
        </w:rPr>
        <w:t>碟和盘的抗凹变试验方法</w:t>
      </w:r>
    </w:p>
    <w:bookmarkEnd w:id="83"/>
    <w:p w14:paraId="39BC2BD3">
      <w:pPr>
        <w:spacing w:line="360" w:lineRule="auto"/>
      </w:pPr>
    </w:p>
    <w:p w14:paraId="02EA1BFE">
      <w:pPr>
        <w:spacing w:line="360" w:lineRule="auto"/>
        <w:jc w:val="left"/>
        <w:rPr>
          <w:rFonts w:hint="eastAsia" w:ascii="黑体" w:hAnsi="黑体" w:eastAsia="黑体"/>
        </w:rPr>
      </w:pPr>
      <w:bookmarkStart w:id="84" w:name="_Hlk224305425"/>
      <w:r>
        <w:rPr>
          <w:rFonts w:hint="eastAsia" w:ascii="黑体" w:hAnsi="黑体" w:eastAsia="黑体"/>
        </w:rPr>
        <w:t>F.1  原理</w:t>
      </w:r>
    </w:p>
    <w:p w14:paraId="6A4086AF">
      <w:pPr>
        <w:spacing w:line="360" w:lineRule="auto"/>
        <w:ind w:firstLine="420"/>
      </w:pPr>
      <w:r>
        <w:rPr>
          <w:rFonts w:hint="eastAsia"/>
        </w:rPr>
        <w:t>模拟正常使用下可能发生的碰撞，检查被测碟和盘的变形情况。</w:t>
      </w:r>
    </w:p>
    <w:p w14:paraId="487BD63F">
      <w:pPr>
        <w:spacing w:line="360" w:lineRule="auto"/>
        <w:jc w:val="left"/>
        <w:rPr>
          <w:rFonts w:hint="eastAsia" w:ascii="黑体" w:hAnsi="黑体" w:eastAsia="黑体"/>
        </w:rPr>
      </w:pPr>
      <w:r>
        <w:rPr>
          <w:rFonts w:hint="eastAsia" w:ascii="黑体" w:hAnsi="黑体" w:eastAsia="黑体"/>
        </w:rPr>
        <w:t>F.2  试验装置</w:t>
      </w:r>
    </w:p>
    <w:p w14:paraId="51D7043B">
      <w:pPr>
        <w:spacing w:line="360" w:lineRule="auto"/>
      </w:pPr>
      <w:r>
        <w:rPr>
          <w:rFonts w:hint="eastAsia"/>
        </w:rPr>
        <w:t>F.2.1  负载  按照附录E.2.2。</w:t>
      </w:r>
    </w:p>
    <w:p w14:paraId="40CA2101">
      <w:pPr>
        <w:spacing w:line="360" w:lineRule="auto"/>
        <w:jc w:val="left"/>
        <w:rPr>
          <w:rFonts w:hint="eastAsia" w:ascii="黑体" w:hAnsi="黑体" w:eastAsia="黑体"/>
        </w:rPr>
      </w:pPr>
      <w:r>
        <w:rPr>
          <w:rFonts w:hint="eastAsia" w:ascii="黑体" w:hAnsi="黑体" w:eastAsia="黑体"/>
        </w:rPr>
        <w:t>F.3  试验步骤</w:t>
      </w:r>
    </w:p>
    <w:p w14:paraId="2560E77A">
      <w:pPr>
        <w:spacing w:line="360" w:lineRule="auto"/>
      </w:pPr>
      <w:r>
        <w:rPr>
          <w:rFonts w:hint="eastAsia"/>
        </w:rPr>
        <w:t>F.3.1  模仿正常使用方法抬起试验样件，使其不受任何支撑，施加一圆柱负载到被测样件的底平面的任意一点，然后移开负载，记录下在施加负载和/或移开负载后被测样件受载表面是否产生任何塌陷现象。</w:t>
      </w:r>
    </w:p>
    <w:p w14:paraId="119CEB12">
      <w:pPr>
        <w:spacing w:line="360" w:lineRule="auto"/>
      </w:pPr>
      <w:r>
        <w:rPr>
          <w:rFonts w:hint="eastAsia"/>
        </w:rPr>
        <w:t>F.3.2  将试验样件翻转向上，再重复F.3.1试验。</w:t>
      </w:r>
    </w:p>
    <w:p w14:paraId="4BF2CA69">
      <w:pPr>
        <w:spacing w:line="360" w:lineRule="auto"/>
      </w:pPr>
    </w:p>
    <w:bookmarkEnd w:id="84"/>
    <w:p w14:paraId="3C4BF2D0">
      <w:pPr>
        <w:spacing w:line="360" w:lineRule="auto"/>
      </w:pPr>
    </w:p>
    <w:p w14:paraId="48AEF924">
      <w:pPr>
        <w:spacing w:line="360" w:lineRule="auto"/>
      </w:pPr>
    </w:p>
    <w:p w14:paraId="7B98C346">
      <w:pPr>
        <w:spacing w:line="360" w:lineRule="auto"/>
      </w:pPr>
    </w:p>
    <w:p w14:paraId="2E885588">
      <w:pPr>
        <w:spacing w:line="360" w:lineRule="auto"/>
      </w:pPr>
    </w:p>
    <w:p w14:paraId="3F461B0C">
      <w:pPr>
        <w:spacing w:line="360" w:lineRule="auto"/>
      </w:pPr>
    </w:p>
    <w:p w14:paraId="7F8870A0">
      <w:pPr>
        <w:spacing w:line="360" w:lineRule="auto"/>
      </w:pPr>
    </w:p>
    <w:p w14:paraId="30559F17">
      <w:pPr>
        <w:spacing w:line="360" w:lineRule="auto"/>
      </w:pPr>
    </w:p>
    <w:p w14:paraId="5FC4FDA9">
      <w:pPr>
        <w:spacing w:line="360" w:lineRule="auto"/>
      </w:pPr>
    </w:p>
    <w:p w14:paraId="2344211A">
      <w:pPr>
        <w:spacing w:line="360" w:lineRule="auto"/>
      </w:pPr>
    </w:p>
    <w:p w14:paraId="07B69AB8">
      <w:pPr>
        <w:spacing w:line="360" w:lineRule="auto"/>
      </w:pPr>
    </w:p>
    <w:p w14:paraId="035A4822">
      <w:pPr>
        <w:spacing w:line="360" w:lineRule="auto"/>
      </w:pPr>
    </w:p>
    <w:p w14:paraId="398DF82D">
      <w:pPr>
        <w:spacing w:line="360" w:lineRule="auto"/>
      </w:pPr>
    </w:p>
    <w:p w14:paraId="16769630">
      <w:pPr>
        <w:spacing w:line="360" w:lineRule="auto"/>
      </w:pPr>
    </w:p>
    <w:p w14:paraId="5E6C7FFC">
      <w:pPr>
        <w:spacing w:line="360" w:lineRule="auto"/>
      </w:pPr>
    </w:p>
    <w:p w14:paraId="0376CA81">
      <w:pPr>
        <w:spacing w:line="360" w:lineRule="auto"/>
      </w:pPr>
    </w:p>
    <w:p w14:paraId="7F43762D">
      <w:pPr>
        <w:spacing w:line="360" w:lineRule="auto"/>
      </w:pPr>
    </w:p>
    <w:p w14:paraId="5A1988D8">
      <w:pPr>
        <w:spacing w:line="360" w:lineRule="auto"/>
      </w:pPr>
    </w:p>
    <w:p w14:paraId="20A3A0E9">
      <w:pPr>
        <w:spacing w:line="360" w:lineRule="auto"/>
      </w:pPr>
    </w:p>
    <w:p w14:paraId="4060C756">
      <w:pPr>
        <w:spacing w:line="360" w:lineRule="auto"/>
      </w:pPr>
    </w:p>
    <w:p w14:paraId="5BCC0D06">
      <w:pPr>
        <w:spacing w:line="360" w:lineRule="auto"/>
      </w:pPr>
    </w:p>
    <w:p w14:paraId="3E1C96C4">
      <w:pPr>
        <w:spacing w:line="360" w:lineRule="auto"/>
        <w:jc w:val="center"/>
        <w:rPr>
          <w:rFonts w:hint="eastAsia" w:ascii="黑体" w:hAnsi="黑体" w:eastAsia="黑体"/>
        </w:rPr>
      </w:pPr>
    </w:p>
    <w:p w14:paraId="69D0B325">
      <w:pPr>
        <w:spacing w:line="360" w:lineRule="auto"/>
        <w:jc w:val="center"/>
        <w:rPr>
          <w:rFonts w:hint="eastAsia" w:ascii="黑体" w:hAnsi="黑体" w:eastAsia="黑体"/>
        </w:rPr>
      </w:pPr>
    </w:p>
    <w:p w14:paraId="06757966">
      <w:pPr>
        <w:spacing w:line="360" w:lineRule="auto"/>
        <w:jc w:val="center"/>
        <w:rPr>
          <w:rFonts w:hint="eastAsia" w:ascii="黑体" w:hAnsi="黑体" w:eastAsia="黑体"/>
        </w:rPr>
        <w:sectPr>
          <w:pgSz w:w="11906" w:h="16838"/>
          <w:pgMar w:top="567" w:right="1134" w:bottom="1134" w:left="1134" w:header="1418" w:footer="1134" w:gutter="284"/>
          <w:cols w:space="425" w:num="1"/>
          <w:formProt w:val="0"/>
          <w:docGrid w:linePitch="312" w:charSpace="0"/>
        </w:sectPr>
      </w:pPr>
    </w:p>
    <w:p w14:paraId="63BEE132">
      <w:pPr>
        <w:spacing w:line="360" w:lineRule="auto"/>
        <w:jc w:val="center"/>
        <w:rPr>
          <w:rFonts w:hint="eastAsia" w:ascii="黑体" w:hAnsi="黑体" w:eastAsia="黑体"/>
        </w:rPr>
      </w:pPr>
      <w:bookmarkStart w:id="85" w:name="_Hlk224305458"/>
      <w:r>
        <w:rPr>
          <w:rFonts w:hint="eastAsia" w:ascii="黑体" w:hAnsi="黑体" w:eastAsia="黑体"/>
        </w:rPr>
        <w:t>附录G</w:t>
      </w:r>
    </w:p>
    <w:p w14:paraId="2CD21C46">
      <w:pPr>
        <w:spacing w:line="360" w:lineRule="auto"/>
        <w:jc w:val="center"/>
        <w:rPr>
          <w:rFonts w:hint="eastAsia" w:ascii="黑体" w:hAnsi="黑体" w:eastAsia="黑体"/>
        </w:rPr>
      </w:pPr>
      <w:r>
        <w:rPr>
          <w:rFonts w:hint="eastAsia" w:ascii="黑体" w:hAnsi="黑体" w:eastAsia="黑体"/>
        </w:rPr>
        <w:t>（规范性）</w:t>
      </w:r>
    </w:p>
    <w:p w14:paraId="13936C7E">
      <w:pPr>
        <w:spacing w:line="360" w:lineRule="auto"/>
        <w:jc w:val="center"/>
        <w:rPr>
          <w:rFonts w:hint="eastAsia" w:ascii="黑体" w:hAnsi="黑体" w:eastAsia="黑体"/>
        </w:rPr>
      </w:pPr>
      <w:r>
        <w:rPr>
          <w:rFonts w:hint="eastAsia" w:ascii="黑体" w:hAnsi="黑体" w:eastAsia="黑体"/>
        </w:rPr>
        <w:t>器皿负载强度试验方法</w:t>
      </w:r>
    </w:p>
    <w:p w14:paraId="19B5E70E">
      <w:pPr>
        <w:spacing w:line="360" w:lineRule="auto"/>
      </w:pPr>
    </w:p>
    <w:p w14:paraId="726DD049">
      <w:pPr>
        <w:spacing w:line="360" w:lineRule="auto"/>
        <w:jc w:val="left"/>
        <w:rPr>
          <w:rFonts w:hint="eastAsia" w:ascii="黑体" w:hAnsi="黑体" w:eastAsia="黑体"/>
        </w:rPr>
      </w:pPr>
      <w:r>
        <w:rPr>
          <w:rFonts w:hint="eastAsia" w:ascii="黑体" w:hAnsi="黑体" w:eastAsia="黑体"/>
        </w:rPr>
        <w:t>G.1  原理</w:t>
      </w:r>
    </w:p>
    <w:p w14:paraId="79DC764E">
      <w:pPr>
        <w:spacing w:line="360" w:lineRule="auto"/>
        <w:ind w:firstLine="420" w:firstLineChars="200"/>
      </w:pPr>
      <w:r>
        <w:t>在</w:t>
      </w:r>
      <w:r>
        <w:rPr>
          <w:rFonts w:hint="eastAsia"/>
        </w:rPr>
        <w:t>器皿</w:t>
      </w:r>
      <w:r>
        <w:t>装填超过正常使用工况的载荷后进行起吊，随后检查</w:t>
      </w:r>
      <w:r>
        <w:rPr>
          <w:rFonts w:hint="eastAsia"/>
        </w:rPr>
        <w:t>器皿的</w:t>
      </w:r>
      <w:r>
        <w:t>变形情况。</w:t>
      </w:r>
    </w:p>
    <w:p w14:paraId="19B37CDC">
      <w:pPr>
        <w:spacing w:line="360" w:lineRule="auto"/>
        <w:jc w:val="left"/>
        <w:rPr>
          <w:rFonts w:hint="eastAsia" w:ascii="黑体" w:hAnsi="黑体" w:eastAsia="黑体"/>
        </w:rPr>
      </w:pPr>
      <w:r>
        <w:rPr>
          <w:rFonts w:hint="eastAsia" w:ascii="黑体" w:hAnsi="黑体" w:eastAsia="黑体"/>
        </w:rPr>
        <w:t>G.2  试验装置</w:t>
      </w:r>
    </w:p>
    <w:p w14:paraId="15C9B467">
      <w:pPr>
        <w:spacing w:line="360" w:lineRule="auto"/>
      </w:pPr>
      <w:r>
        <w:rPr>
          <w:rFonts w:hint="eastAsia"/>
        </w:rPr>
        <w:t>G.2.1  负载  直径10mm</w:t>
      </w:r>
      <w:r>
        <w:rPr>
          <w:rFonts w:hint="eastAsia" w:ascii="宋体"/>
        </w:rPr>
        <w:t>±</w:t>
      </w:r>
      <w:r>
        <w:rPr>
          <w:rFonts w:hint="eastAsia"/>
        </w:rPr>
        <w:t>5mm的金属球。</w:t>
      </w:r>
    </w:p>
    <w:p w14:paraId="761A9AE6">
      <w:pPr>
        <w:spacing w:line="360" w:lineRule="auto"/>
        <w:jc w:val="left"/>
        <w:rPr>
          <w:rFonts w:hint="eastAsia" w:ascii="黑体" w:hAnsi="黑体" w:eastAsia="黑体"/>
        </w:rPr>
      </w:pPr>
      <w:r>
        <w:rPr>
          <w:rFonts w:hint="eastAsia" w:ascii="黑体" w:hAnsi="黑体" w:eastAsia="黑体"/>
        </w:rPr>
        <w:t>G.3  试验步骤</w:t>
      </w:r>
    </w:p>
    <w:p w14:paraId="75B54E55">
      <w:pPr>
        <w:spacing w:line="360" w:lineRule="auto"/>
      </w:pPr>
      <w:r>
        <w:rPr>
          <w:rFonts w:hint="eastAsia"/>
        </w:rPr>
        <w:t xml:space="preserve">G.3.1  </w:t>
      </w:r>
      <w:r>
        <w:t xml:space="preserve">在 20 </w:t>
      </w:r>
      <w:r>
        <w:rPr>
          <w:rFonts w:ascii="Cambria Math" w:hAnsi="Cambria Math" w:cs="Cambria Math"/>
        </w:rPr>
        <w:t>℃</w:t>
      </w:r>
      <w:r>
        <w:t xml:space="preserve"> </w:t>
      </w:r>
      <w:r>
        <w:rPr>
          <w:rFonts w:cs="Calibri"/>
        </w:rPr>
        <w:t>±</w:t>
      </w:r>
      <w:r>
        <w:t xml:space="preserve"> 5 </w:t>
      </w:r>
      <w:r>
        <w:rPr>
          <w:rFonts w:ascii="Cambria Math" w:hAnsi="Cambria Math" w:cs="Cambria Math"/>
        </w:rPr>
        <w:t>℃</w:t>
      </w:r>
      <w:r>
        <w:t xml:space="preserve"> 条件下，向试样内注入已知体积的水，注水至距容器边缘 15 mm ± 1 mm 处，以此确定试样的有效</w:t>
      </w:r>
      <w:r>
        <w:rPr>
          <w:rFonts w:hint="eastAsia"/>
        </w:rPr>
        <w:t>容量</w:t>
      </w:r>
      <w:r>
        <w:t>。</w:t>
      </w:r>
    </w:p>
    <w:p w14:paraId="478AF88E">
      <w:pPr>
        <w:spacing w:line="360" w:lineRule="auto"/>
      </w:pPr>
      <w:r>
        <w:rPr>
          <w:rFonts w:hint="eastAsia"/>
        </w:rPr>
        <w:t>G.3.2  向试样内无冲击地装入金属球：</w:t>
      </w:r>
    </w:p>
    <w:p w14:paraId="396E4C28">
      <w:pPr>
        <w:spacing w:line="360" w:lineRule="auto"/>
      </w:pPr>
      <w:r>
        <w:rPr>
          <w:rFonts w:hint="eastAsia"/>
        </w:rPr>
        <w:t>若容器有效容量 ≤ 5 L：按每毫升有效容量 3 g 的金属球质量装填；</w:t>
      </w:r>
    </w:p>
    <w:p w14:paraId="576C7BF0">
      <w:pPr>
        <w:spacing w:line="360" w:lineRule="auto"/>
      </w:pPr>
      <w:r>
        <w:rPr>
          <w:rFonts w:hint="eastAsia"/>
        </w:rPr>
        <w:t>若容器有效容量 &gt; 5 L：按每毫升有效容量 1.5 g 的金属球质量装填。</w:t>
      </w:r>
    </w:p>
    <w:p w14:paraId="77DB851E">
      <w:pPr>
        <w:spacing w:line="360" w:lineRule="auto"/>
      </w:pPr>
      <w:r>
        <w:rPr>
          <w:rFonts w:hint="eastAsia"/>
        </w:rPr>
        <w:t>采用常规起吊方式将试样抬离支撑面，保持至少 30 s后，移除金属球，观察并记录试样的永久变形情况。</w:t>
      </w:r>
    </w:p>
    <w:p w14:paraId="3B8ED56C">
      <w:pPr>
        <w:spacing w:line="360" w:lineRule="auto"/>
      </w:pPr>
    </w:p>
    <w:p w14:paraId="719E5E15">
      <w:pPr>
        <w:spacing w:line="360" w:lineRule="auto"/>
        <w:ind w:firstLine="420"/>
      </w:pPr>
      <w:r>
        <w:rPr>
          <w:rFonts w:hint="eastAsia"/>
        </w:rPr>
        <w:t>注：</w:t>
      </w:r>
      <w:r>
        <w:t>为便于操作，金属球可预先装入柔性塑料袋中再放入</w:t>
      </w:r>
      <w:r>
        <w:rPr>
          <w:rFonts w:hint="eastAsia"/>
        </w:rPr>
        <w:t>器皿</w:t>
      </w:r>
      <w:r>
        <w:t>。</w:t>
      </w:r>
    </w:p>
    <w:p w14:paraId="638C4144">
      <w:pPr>
        <w:spacing w:line="360" w:lineRule="auto"/>
      </w:pPr>
    </w:p>
    <w:p w14:paraId="16B0AE70">
      <w:pPr>
        <w:spacing w:line="360" w:lineRule="auto"/>
        <w:jc w:val="center"/>
      </w:pPr>
    </w:p>
    <w:bookmarkEnd w:id="85"/>
    <w:p w14:paraId="1320C546">
      <w:pPr>
        <w:spacing w:line="360" w:lineRule="auto"/>
        <w:jc w:val="center"/>
      </w:pPr>
    </w:p>
    <w:p w14:paraId="6B3CC5F3">
      <w:pPr>
        <w:spacing w:line="360" w:lineRule="auto"/>
        <w:jc w:val="center"/>
      </w:pPr>
    </w:p>
    <w:p w14:paraId="1582EBF9">
      <w:pPr>
        <w:spacing w:line="360" w:lineRule="auto"/>
        <w:jc w:val="center"/>
      </w:pPr>
    </w:p>
    <w:p w14:paraId="5AA36A20">
      <w:pPr>
        <w:spacing w:line="360" w:lineRule="auto"/>
        <w:jc w:val="center"/>
      </w:pPr>
    </w:p>
    <w:p w14:paraId="4A2B3015">
      <w:pPr>
        <w:spacing w:line="360" w:lineRule="auto"/>
        <w:jc w:val="center"/>
      </w:pPr>
    </w:p>
    <w:p w14:paraId="75E06307">
      <w:pPr>
        <w:spacing w:line="360" w:lineRule="auto"/>
        <w:jc w:val="center"/>
      </w:pPr>
    </w:p>
    <w:p w14:paraId="3C43F5BC">
      <w:pPr>
        <w:spacing w:line="360" w:lineRule="auto"/>
        <w:jc w:val="center"/>
      </w:pPr>
    </w:p>
    <w:p w14:paraId="1637003F">
      <w:pPr>
        <w:spacing w:line="360" w:lineRule="auto"/>
        <w:jc w:val="center"/>
      </w:pPr>
    </w:p>
    <w:p w14:paraId="57112749">
      <w:pPr>
        <w:spacing w:line="360" w:lineRule="auto"/>
        <w:jc w:val="center"/>
      </w:pPr>
    </w:p>
    <w:p w14:paraId="481CF06A">
      <w:pPr>
        <w:spacing w:line="360" w:lineRule="auto"/>
        <w:jc w:val="center"/>
      </w:pPr>
    </w:p>
    <w:p w14:paraId="193FE4A2">
      <w:pPr>
        <w:spacing w:line="360" w:lineRule="auto"/>
        <w:jc w:val="center"/>
      </w:pPr>
    </w:p>
    <w:p w14:paraId="4332D153">
      <w:pPr>
        <w:spacing w:line="360" w:lineRule="auto"/>
        <w:jc w:val="center"/>
      </w:pPr>
    </w:p>
    <w:p w14:paraId="0F953905">
      <w:pPr>
        <w:spacing w:line="360" w:lineRule="auto"/>
        <w:jc w:val="center"/>
      </w:pPr>
    </w:p>
    <w:p w14:paraId="6AB91C74">
      <w:pPr>
        <w:spacing w:line="360" w:lineRule="auto"/>
        <w:jc w:val="center"/>
      </w:pPr>
    </w:p>
    <w:p w14:paraId="5A856B5A">
      <w:pPr>
        <w:spacing w:line="360" w:lineRule="auto"/>
        <w:jc w:val="center"/>
      </w:pPr>
    </w:p>
    <w:p w14:paraId="4B743409">
      <w:pPr>
        <w:spacing w:line="360" w:lineRule="auto"/>
        <w:jc w:val="center"/>
        <w:rPr>
          <w:rFonts w:hint="eastAsia" w:ascii="黑体" w:hAnsi="黑体" w:eastAsia="黑体"/>
        </w:rPr>
        <w:sectPr>
          <w:pgSz w:w="11906" w:h="16838"/>
          <w:pgMar w:top="567" w:right="1134" w:bottom="1134" w:left="1134" w:header="1418" w:footer="1134" w:gutter="284"/>
          <w:cols w:space="425" w:num="1"/>
          <w:formProt w:val="0"/>
          <w:docGrid w:linePitch="312" w:charSpace="0"/>
        </w:sectPr>
      </w:pPr>
    </w:p>
    <w:p w14:paraId="43FD1D07">
      <w:pPr>
        <w:spacing w:line="360" w:lineRule="auto"/>
        <w:jc w:val="center"/>
        <w:rPr>
          <w:rFonts w:hint="eastAsia" w:ascii="黑体" w:hAnsi="黑体" w:eastAsia="黑体"/>
        </w:rPr>
      </w:pPr>
      <w:bookmarkStart w:id="86" w:name="_Hlk224305489"/>
      <w:r>
        <w:rPr>
          <w:rFonts w:hint="eastAsia" w:ascii="黑体" w:hAnsi="黑体" w:eastAsia="黑体"/>
        </w:rPr>
        <w:t>附录H</w:t>
      </w:r>
    </w:p>
    <w:p w14:paraId="604F74A0">
      <w:pPr>
        <w:spacing w:line="360" w:lineRule="auto"/>
        <w:jc w:val="center"/>
        <w:rPr>
          <w:rFonts w:hint="eastAsia" w:ascii="黑体" w:hAnsi="黑体" w:eastAsia="黑体"/>
        </w:rPr>
      </w:pPr>
      <w:r>
        <w:rPr>
          <w:rFonts w:hint="eastAsia" w:ascii="黑体" w:hAnsi="黑体" w:eastAsia="黑体"/>
        </w:rPr>
        <w:t>（规范性）</w:t>
      </w:r>
    </w:p>
    <w:p w14:paraId="633A0B38">
      <w:pPr>
        <w:spacing w:line="360" w:lineRule="auto"/>
        <w:jc w:val="center"/>
        <w:rPr>
          <w:rFonts w:hint="eastAsia" w:ascii="黑体" w:hAnsi="黑体" w:eastAsia="黑体"/>
        </w:rPr>
      </w:pPr>
      <w:r>
        <w:rPr>
          <w:rFonts w:hint="eastAsia" w:ascii="黑体" w:hAnsi="黑体" w:eastAsia="黑体"/>
        </w:rPr>
        <w:t>附件强度试验方法</w:t>
      </w:r>
    </w:p>
    <w:p w14:paraId="44CD4F2A">
      <w:pPr>
        <w:spacing w:line="360" w:lineRule="auto"/>
      </w:pPr>
    </w:p>
    <w:p w14:paraId="1362E6B6">
      <w:pPr>
        <w:spacing w:line="360" w:lineRule="auto"/>
        <w:jc w:val="left"/>
        <w:rPr>
          <w:rFonts w:hint="eastAsia" w:ascii="黑体" w:hAnsi="黑体" w:eastAsia="黑体"/>
        </w:rPr>
      </w:pPr>
      <w:r>
        <w:rPr>
          <w:rFonts w:hint="eastAsia" w:ascii="黑体" w:hAnsi="黑体" w:eastAsia="黑体"/>
        </w:rPr>
        <w:t>H.1  原理</w:t>
      </w:r>
    </w:p>
    <w:p w14:paraId="54398F89">
      <w:pPr>
        <w:spacing w:line="360" w:lineRule="auto"/>
        <w:ind w:firstLine="420"/>
      </w:pPr>
      <w:r>
        <w:rPr>
          <w:rFonts w:hint="eastAsia"/>
        </w:rPr>
        <w:t>模拟样件的非正常使用情况，如检查坠落所引起的附件的折断、变形或脱离。</w:t>
      </w:r>
    </w:p>
    <w:p w14:paraId="3F44562F">
      <w:pPr>
        <w:spacing w:line="360" w:lineRule="auto"/>
        <w:jc w:val="left"/>
        <w:rPr>
          <w:rFonts w:hint="eastAsia" w:ascii="黑体" w:hAnsi="黑体" w:eastAsia="黑体"/>
        </w:rPr>
      </w:pPr>
      <w:r>
        <w:rPr>
          <w:rFonts w:hint="eastAsia" w:ascii="黑体" w:hAnsi="黑体" w:eastAsia="黑体"/>
        </w:rPr>
        <w:t>H.2  试验装置</w:t>
      </w:r>
    </w:p>
    <w:p w14:paraId="3BAB13A1">
      <w:pPr>
        <w:spacing w:line="360" w:lineRule="auto"/>
      </w:pPr>
      <w:r>
        <w:rPr>
          <w:rFonts w:hint="eastAsia"/>
        </w:rPr>
        <w:t>H.2.1  负载  将质量为10kg</w:t>
      </w:r>
      <w:r>
        <w:rPr>
          <w:rFonts w:hint="eastAsia" w:ascii="宋体"/>
        </w:rPr>
        <w:t>±</w:t>
      </w:r>
      <w:r>
        <w:rPr>
          <w:rFonts w:hint="eastAsia"/>
        </w:rPr>
        <w:t>0.01kg的金属块，通过末端的环或夹具悬挂在绳索上。</w:t>
      </w:r>
    </w:p>
    <w:p w14:paraId="2D1CD710">
      <w:pPr>
        <w:spacing w:line="360" w:lineRule="auto"/>
        <w:jc w:val="left"/>
        <w:rPr>
          <w:rFonts w:hint="eastAsia" w:ascii="黑体" w:hAnsi="黑体" w:eastAsia="黑体"/>
        </w:rPr>
      </w:pPr>
      <w:r>
        <w:rPr>
          <w:rFonts w:hint="eastAsia" w:ascii="黑体" w:hAnsi="黑体" w:eastAsia="黑体"/>
        </w:rPr>
        <w:t>H.3  试验步骤</w:t>
      </w:r>
    </w:p>
    <w:p w14:paraId="467356E8">
      <w:pPr>
        <w:spacing w:line="360" w:lineRule="auto"/>
      </w:pPr>
      <w:r>
        <w:rPr>
          <w:rFonts w:hint="eastAsia"/>
        </w:rPr>
        <w:t>H.3.1  用绳索缠绕或夹紧到被测样件的附件上，抬起样件使负载垂直向下悬挂在附件上。</w:t>
      </w:r>
    </w:p>
    <w:p w14:paraId="51D9D0CE">
      <w:pPr>
        <w:spacing w:line="360" w:lineRule="auto"/>
      </w:pPr>
      <w:r>
        <w:rPr>
          <w:rFonts w:hint="eastAsia"/>
        </w:rPr>
        <w:t>H.3.2   转动试验样件使负载的力传递到附件上的全部受力点上。记录附件上的断裂，变形或脱离。</w:t>
      </w:r>
    </w:p>
    <w:p w14:paraId="2C2C5677">
      <w:pPr>
        <w:spacing w:line="360" w:lineRule="auto"/>
      </w:pPr>
    </w:p>
    <w:p w14:paraId="3BFDCEB9">
      <w:pPr>
        <w:spacing w:line="360" w:lineRule="auto"/>
      </w:pPr>
    </w:p>
    <w:bookmarkEnd w:id="86"/>
    <w:p w14:paraId="12F07197">
      <w:pPr>
        <w:spacing w:line="360" w:lineRule="auto"/>
      </w:pPr>
    </w:p>
    <w:p w14:paraId="2D42744A">
      <w:pPr>
        <w:spacing w:line="360" w:lineRule="auto"/>
      </w:pPr>
    </w:p>
    <w:p w14:paraId="69740AD4">
      <w:pPr>
        <w:spacing w:line="360" w:lineRule="auto"/>
      </w:pPr>
    </w:p>
    <w:p w14:paraId="23D05FF4">
      <w:pPr>
        <w:spacing w:line="360" w:lineRule="auto"/>
      </w:pPr>
    </w:p>
    <w:p w14:paraId="0BFDCD90">
      <w:pPr>
        <w:spacing w:line="360" w:lineRule="auto"/>
      </w:pPr>
    </w:p>
    <w:p w14:paraId="22C3D073">
      <w:pPr>
        <w:spacing w:line="360" w:lineRule="auto"/>
      </w:pPr>
    </w:p>
    <w:p w14:paraId="4D209C06">
      <w:pPr>
        <w:spacing w:line="360" w:lineRule="auto"/>
      </w:pPr>
    </w:p>
    <w:p w14:paraId="770E809F">
      <w:pPr>
        <w:spacing w:line="360" w:lineRule="auto"/>
      </w:pPr>
    </w:p>
    <w:p w14:paraId="026949ED">
      <w:pPr>
        <w:spacing w:line="360" w:lineRule="auto"/>
      </w:pPr>
    </w:p>
    <w:p w14:paraId="1C45CDCF">
      <w:pPr>
        <w:spacing w:line="360" w:lineRule="auto"/>
      </w:pPr>
    </w:p>
    <w:p w14:paraId="3CF54755">
      <w:pPr>
        <w:spacing w:line="360" w:lineRule="auto"/>
      </w:pPr>
    </w:p>
    <w:p w14:paraId="28BE5D26">
      <w:pPr>
        <w:spacing w:line="360" w:lineRule="auto"/>
      </w:pPr>
    </w:p>
    <w:p w14:paraId="2A084968">
      <w:pPr>
        <w:spacing w:line="360" w:lineRule="auto"/>
      </w:pPr>
    </w:p>
    <w:p w14:paraId="1AF4E304">
      <w:pPr>
        <w:spacing w:line="360" w:lineRule="auto"/>
      </w:pPr>
    </w:p>
    <w:p w14:paraId="3FB5C7D3">
      <w:pPr>
        <w:spacing w:line="360" w:lineRule="auto"/>
      </w:pPr>
    </w:p>
    <w:p w14:paraId="3BBFCC69">
      <w:pPr>
        <w:spacing w:line="360" w:lineRule="auto"/>
      </w:pPr>
    </w:p>
    <w:p w14:paraId="48119B0E">
      <w:pPr>
        <w:spacing w:line="360" w:lineRule="auto"/>
      </w:pPr>
    </w:p>
    <w:p w14:paraId="667649CA">
      <w:pPr>
        <w:spacing w:line="360" w:lineRule="auto"/>
      </w:pPr>
    </w:p>
    <w:p w14:paraId="62F9C530">
      <w:pPr>
        <w:spacing w:line="360" w:lineRule="auto"/>
      </w:pPr>
    </w:p>
    <w:p w14:paraId="230EB77A">
      <w:pPr>
        <w:spacing w:line="360" w:lineRule="auto"/>
      </w:pPr>
    </w:p>
    <w:p w14:paraId="06A19286">
      <w:pPr>
        <w:spacing w:line="360" w:lineRule="auto"/>
      </w:pPr>
    </w:p>
    <w:p w14:paraId="7F7ED1ED">
      <w:pPr>
        <w:spacing w:line="360" w:lineRule="auto"/>
      </w:pPr>
    </w:p>
    <w:p w14:paraId="3F487A97">
      <w:pPr>
        <w:spacing w:line="360" w:lineRule="auto"/>
        <w:jc w:val="center"/>
        <w:rPr>
          <w:rFonts w:hint="eastAsia" w:ascii="黑体" w:hAnsi="黑体" w:eastAsia="黑体"/>
        </w:rPr>
        <w:sectPr>
          <w:pgSz w:w="11906" w:h="16838"/>
          <w:pgMar w:top="567" w:right="1134" w:bottom="1134" w:left="1134" w:header="1418" w:footer="1134" w:gutter="284"/>
          <w:cols w:space="425" w:num="1"/>
          <w:formProt w:val="0"/>
          <w:docGrid w:linePitch="312" w:charSpace="0"/>
        </w:sectPr>
      </w:pPr>
    </w:p>
    <w:p w14:paraId="5A93D8AF">
      <w:pPr>
        <w:spacing w:line="360" w:lineRule="auto"/>
        <w:jc w:val="center"/>
        <w:rPr>
          <w:rFonts w:hint="eastAsia" w:ascii="黑体" w:hAnsi="黑体" w:eastAsia="黑体"/>
        </w:rPr>
      </w:pPr>
      <w:r>
        <w:rPr>
          <w:rFonts w:hint="eastAsia" w:ascii="黑体" w:hAnsi="黑体" w:eastAsia="黑体"/>
        </w:rPr>
        <w:t>附录J</w:t>
      </w:r>
    </w:p>
    <w:p w14:paraId="74EC85A4">
      <w:pPr>
        <w:spacing w:line="360" w:lineRule="auto"/>
        <w:jc w:val="center"/>
        <w:rPr>
          <w:rFonts w:hint="eastAsia" w:ascii="黑体" w:hAnsi="黑体" w:eastAsia="黑体"/>
        </w:rPr>
      </w:pPr>
      <w:r>
        <w:rPr>
          <w:rFonts w:hint="eastAsia" w:ascii="黑体" w:hAnsi="黑体" w:eastAsia="黑体"/>
        </w:rPr>
        <w:t>（规范性）</w:t>
      </w:r>
    </w:p>
    <w:p w14:paraId="30CFDD24">
      <w:pPr>
        <w:spacing w:line="360" w:lineRule="auto"/>
        <w:jc w:val="center"/>
        <w:rPr>
          <w:rFonts w:hint="eastAsia" w:ascii="黑体" w:hAnsi="黑体" w:eastAsia="黑体"/>
        </w:rPr>
      </w:pPr>
      <w:bookmarkStart w:id="87" w:name="_Hlk224305529"/>
      <w:r>
        <w:rPr>
          <w:rFonts w:hint="eastAsia" w:ascii="黑体" w:hAnsi="黑体" w:eastAsia="黑体"/>
        </w:rPr>
        <w:t>倒水试验方法</w:t>
      </w:r>
    </w:p>
    <w:p w14:paraId="31636B98">
      <w:pPr>
        <w:spacing w:line="360" w:lineRule="auto"/>
      </w:pPr>
    </w:p>
    <w:p w14:paraId="4E2384ED">
      <w:pPr>
        <w:spacing w:line="360" w:lineRule="auto"/>
        <w:jc w:val="left"/>
        <w:rPr>
          <w:rFonts w:hint="eastAsia" w:ascii="黑体" w:hAnsi="黑体" w:eastAsia="黑体"/>
        </w:rPr>
      </w:pPr>
      <w:r>
        <w:rPr>
          <w:rFonts w:hint="eastAsia" w:ascii="黑体" w:hAnsi="黑体" w:eastAsia="黑体"/>
        </w:rPr>
        <w:t>J.1  原理</w:t>
      </w:r>
    </w:p>
    <w:p w14:paraId="43AF68B7">
      <w:pPr>
        <w:spacing w:line="360" w:lineRule="auto"/>
        <w:ind w:firstLine="420"/>
      </w:pPr>
      <w:r>
        <w:rPr>
          <w:rFonts w:hint="eastAsia"/>
        </w:rPr>
        <w:t>将水注入到样件的有效容量，以一定的速率倾斜样件，检查样件的出水性能。</w:t>
      </w:r>
    </w:p>
    <w:p w14:paraId="3B510E8B">
      <w:pPr>
        <w:spacing w:line="360" w:lineRule="auto"/>
        <w:ind w:firstLine="420"/>
      </w:pPr>
      <w:r>
        <w:rPr>
          <w:rFonts w:hint="eastAsia"/>
        </w:rPr>
        <w:t>注：清洗过程中残留的洗涤剂会导致液体滴漏，任何使用洗涤剂清洗过的容器在测试前，必须先用去离子水彻底冲洗不少于五次。</w:t>
      </w:r>
    </w:p>
    <w:p w14:paraId="2FA7D113">
      <w:pPr>
        <w:spacing w:line="360" w:lineRule="auto"/>
        <w:jc w:val="left"/>
        <w:rPr>
          <w:rFonts w:hint="eastAsia" w:ascii="黑体" w:hAnsi="黑体" w:eastAsia="黑体"/>
        </w:rPr>
      </w:pPr>
      <w:r>
        <w:rPr>
          <w:rFonts w:hint="eastAsia" w:ascii="黑体" w:hAnsi="黑体" w:eastAsia="黑体"/>
        </w:rPr>
        <w:t>J.2  试验装置</w:t>
      </w:r>
    </w:p>
    <w:p w14:paraId="540C92ED">
      <w:pPr>
        <w:spacing w:line="360" w:lineRule="auto"/>
      </w:pPr>
      <w:r>
        <w:rPr>
          <w:rFonts w:hint="eastAsia"/>
        </w:rPr>
        <w:t>J.2.1  可倾斜平台  可实现以每分钟5</w:t>
      </w:r>
      <w:r>
        <w:rPr>
          <w:rFonts w:hint="eastAsia" w:ascii="宋体"/>
        </w:rPr>
        <w:t>°±</w:t>
      </w:r>
      <w:r>
        <w:rPr>
          <w:rFonts w:hint="eastAsia"/>
        </w:rPr>
        <w:t>1</w:t>
      </w:r>
      <w:r>
        <w:rPr>
          <w:rFonts w:hint="eastAsia" w:ascii="宋体"/>
        </w:rPr>
        <w:t>°</w:t>
      </w:r>
      <w:r>
        <w:rPr>
          <w:rFonts w:hint="eastAsia"/>
        </w:rPr>
        <w:t>的速率倾斜，最大可达到70</w:t>
      </w:r>
      <w:r>
        <w:rPr>
          <w:rFonts w:hint="eastAsia" w:ascii="宋体"/>
        </w:rPr>
        <w:t>°</w:t>
      </w:r>
      <w:r>
        <w:rPr>
          <w:rFonts w:hint="eastAsia"/>
        </w:rPr>
        <w:t>的板台。</w:t>
      </w:r>
    </w:p>
    <w:p w14:paraId="016D83D0">
      <w:pPr>
        <w:spacing w:line="360" w:lineRule="auto"/>
        <w:jc w:val="left"/>
        <w:rPr>
          <w:rFonts w:hint="eastAsia" w:ascii="黑体" w:hAnsi="黑体" w:eastAsia="黑体"/>
        </w:rPr>
      </w:pPr>
      <w:r>
        <w:rPr>
          <w:rFonts w:hint="eastAsia" w:ascii="黑体" w:hAnsi="黑体" w:eastAsia="黑体"/>
        </w:rPr>
        <w:t>J.3  试验步骤</w:t>
      </w:r>
    </w:p>
    <w:p w14:paraId="616683C0">
      <w:pPr>
        <w:spacing w:line="360" w:lineRule="auto"/>
        <w:rPr>
          <w:rFonts w:ascii="宋体"/>
        </w:rPr>
      </w:pPr>
      <w:r>
        <w:rPr>
          <w:rFonts w:hint="eastAsia"/>
        </w:rPr>
        <w:t>J.3.1  试验时板台先调到水平位置上，将试验样本向上放在上面（适当地固定，如用一大橡胶条），并注入20</w:t>
      </w:r>
      <w:r>
        <w:rPr>
          <w:rFonts w:hint="eastAsia" w:ascii="宋体"/>
        </w:rPr>
        <w:t>℃±5℃的去离子水到其边口下缘15mm±1mm处，以每分钟5°±1°的速度倾斜板台，以使水仅从口部流出，直到板台与水平面成10°±1°。记录出水情况。以同样速率将样本倾斜回到水平位置，并记录试验样本是否出现出现滴落现象。</w:t>
      </w:r>
    </w:p>
    <w:p w14:paraId="34D937A4">
      <w:pPr>
        <w:spacing w:line="360" w:lineRule="auto"/>
        <w:ind w:firstLine="420"/>
        <w:rPr>
          <w:rFonts w:ascii="宋体"/>
        </w:rPr>
      </w:pPr>
      <w:r>
        <w:rPr>
          <w:rFonts w:hint="eastAsia" w:ascii="宋体"/>
        </w:rPr>
        <w:t>注：如在此试验中，水从器皿的边缘溢出，则应逐渐减少倾斜角度直至不再发生溢流。</w:t>
      </w:r>
    </w:p>
    <w:p w14:paraId="0C385A2F">
      <w:pPr>
        <w:spacing w:line="360" w:lineRule="auto"/>
      </w:pPr>
      <w:r>
        <w:rPr>
          <w:rFonts w:hint="eastAsia"/>
        </w:rPr>
        <w:t>J.3.2  重复J.3.1中所述步骤，倾斜角度每次递增10</w:t>
      </w:r>
      <w:r>
        <w:rPr>
          <w:rFonts w:hint="eastAsia" w:ascii="宋体"/>
        </w:rPr>
        <w:t>°±</w:t>
      </w:r>
      <w:r>
        <w:rPr>
          <w:rFonts w:hint="eastAsia"/>
        </w:rPr>
        <w:t>1</w:t>
      </w:r>
      <w:r>
        <w:rPr>
          <w:rFonts w:hint="eastAsia" w:ascii="宋体"/>
        </w:rPr>
        <w:t>°进行试验，直到</w:t>
      </w:r>
      <w:r>
        <w:rPr>
          <w:rFonts w:hint="eastAsia"/>
        </w:rPr>
        <w:t>最大值70</w:t>
      </w:r>
      <w:r>
        <w:rPr>
          <w:rFonts w:hint="eastAsia" w:ascii="宋体"/>
        </w:rPr>
        <w:t>°</w:t>
      </w:r>
      <w:r>
        <w:rPr>
          <w:rFonts w:hint="eastAsia"/>
        </w:rPr>
        <w:t>。</w:t>
      </w:r>
    </w:p>
    <w:p w14:paraId="68E87B1D">
      <w:pPr>
        <w:spacing w:line="360" w:lineRule="auto"/>
      </w:pPr>
    </w:p>
    <w:p w14:paraId="39C7F0A9">
      <w:pPr>
        <w:spacing w:line="360" w:lineRule="auto"/>
        <w:jc w:val="center"/>
      </w:pPr>
    </w:p>
    <w:p w14:paraId="4668572A">
      <w:pPr>
        <w:spacing w:line="360" w:lineRule="auto"/>
        <w:jc w:val="center"/>
      </w:pPr>
    </w:p>
    <w:bookmarkEnd w:id="87"/>
    <w:p w14:paraId="2BE4C2F2">
      <w:pPr>
        <w:spacing w:line="360" w:lineRule="auto"/>
        <w:jc w:val="center"/>
      </w:pPr>
    </w:p>
    <w:p w14:paraId="02178BD8">
      <w:pPr>
        <w:spacing w:line="360" w:lineRule="auto"/>
        <w:jc w:val="center"/>
      </w:pPr>
    </w:p>
    <w:p w14:paraId="5C5C8D59">
      <w:pPr>
        <w:spacing w:line="360" w:lineRule="auto"/>
        <w:jc w:val="center"/>
      </w:pPr>
    </w:p>
    <w:p w14:paraId="65A76BCB">
      <w:pPr>
        <w:spacing w:line="360" w:lineRule="auto"/>
        <w:jc w:val="center"/>
      </w:pPr>
    </w:p>
    <w:p w14:paraId="62DF4122">
      <w:pPr>
        <w:spacing w:line="360" w:lineRule="auto"/>
        <w:jc w:val="center"/>
      </w:pPr>
    </w:p>
    <w:p w14:paraId="29D28EE4">
      <w:pPr>
        <w:spacing w:line="360" w:lineRule="auto"/>
        <w:jc w:val="center"/>
      </w:pPr>
    </w:p>
    <w:p w14:paraId="0DC09CFE">
      <w:pPr>
        <w:spacing w:line="360" w:lineRule="auto"/>
        <w:jc w:val="center"/>
      </w:pPr>
    </w:p>
    <w:p w14:paraId="31537FC9">
      <w:pPr>
        <w:spacing w:line="360" w:lineRule="auto"/>
        <w:jc w:val="center"/>
      </w:pPr>
    </w:p>
    <w:p w14:paraId="6B5A0EBE">
      <w:pPr>
        <w:spacing w:line="360" w:lineRule="auto"/>
        <w:jc w:val="center"/>
      </w:pPr>
    </w:p>
    <w:p w14:paraId="78F48F39">
      <w:pPr>
        <w:spacing w:line="360" w:lineRule="auto"/>
        <w:jc w:val="center"/>
      </w:pPr>
    </w:p>
    <w:p w14:paraId="592775D1">
      <w:pPr>
        <w:spacing w:line="360" w:lineRule="auto"/>
        <w:jc w:val="center"/>
      </w:pPr>
    </w:p>
    <w:p w14:paraId="59DFB35B">
      <w:pPr>
        <w:spacing w:line="360" w:lineRule="auto"/>
        <w:jc w:val="center"/>
      </w:pPr>
    </w:p>
    <w:p w14:paraId="75F0A17E">
      <w:pPr>
        <w:spacing w:line="360" w:lineRule="auto"/>
        <w:jc w:val="center"/>
      </w:pPr>
    </w:p>
    <w:p w14:paraId="2B704D25">
      <w:pPr>
        <w:spacing w:line="360" w:lineRule="auto"/>
        <w:jc w:val="center"/>
      </w:pPr>
    </w:p>
    <w:p w14:paraId="0E4C4D5A">
      <w:pPr>
        <w:spacing w:line="360" w:lineRule="auto"/>
        <w:jc w:val="center"/>
      </w:pPr>
    </w:p>
    <w:p w14:paraId="20401F0F">
      <w:pPr>
        <w:spacing w:line="360" w:lineRule="auto"/>
        <w:jc w:val="center"/>
        <w:rPr>
          <w:rFonts w:hint="eastAsia" w:ascii="黑体" w:hAnsi="黑体" w:eastAsia="黑体"/>
        </w:rPr>
        <w:sectPr>
          <w:pgSz w:w="11906" w:h="16838"/>
          <w:pgMar w:top="567" w:right="1134" w:bottom="1134" w:left="1134" w:header="1418" w:footer="1134" w:gutter="284"/>
          <w:cols w:space="425" w:num="1"/>
          <w:formProt w:val="0"/>
          <w:docGrid w:linePitch="312" w:charSpace="0"/>
        </w:sectPr>
      </w:pPr>
    </w:p>
    <w:p w14:paraId="56F4401D">
      <w:pPr>
        <w:spacing w:line="360" w:lineRule="auto"/>
        <w:jc w:val="center"/>
        <w:rPr>
          <w:rFonts w:hint="eastAsia" w:ascii="黑体" w:hAnsi="黑体" w:eastAsia="黑体"/>
        </w:rPr>
      </w:pPr>
      <w:r>
        <w:rPr>
          <w:rFonts w:hint="eastAsia" w:ascii="黑体" w:hAnsi="黑体" w:eastAsia="黑体"/>
        </w:rPr>
        <w:t>附录K</w:t>
      </w:r>
    </w:p>
    <w:p w14:paraId="734C852E">
      <w:pPr>
        <w:spacing w:line="360" w:lineRule="auto"/>
        <w:jc w:val="center"/>
        <w:rPr>
          <w:rFonts w:hint="eastAsia" w:ascii="黑体" w:hAnsi="黑体" w:eastAsia="黑体"/>
        </w:rPr>
      </w:pPr>
      <w:r>
        <w:rPr>
          <w:rFonts w:hint="eastAsia" w:ascii="黑体" w:hAnsi="黑体" w:eastAsia="黑体"/>
        </w:rPr>
        <w:t>（规范性）</w:t>
      </w:r>
    </w:p>
    <w:p w14:paraId="599E1E16">
      <w:pPr>
        <w:spacing w:line="360" w:lineRule="auto"/>
        <w:jc w:val="center"/>
        <w:rPr>
          <w:rFonts w:hint="eastAsia" w:ascii="黑体" w:hAnsi="黑体" w:eastAsia="黑体"/>
        </w:rPr>
      </w:pPr>
      <w:r>
        <w:rPr>
          <w:rFonts w:hint="eastAsia" w:ascii="黑体" w:hAnsi="黑体" w:eastAsia="黑体"/>
        </w:rPr>
        <w:t>手柄温升和泄漏试验方法</w:t>
      </w:r>
    </w:p>
    <w:p w14:paraId="21F50CE2">
      <w:pPr>
        <w:spacing w:line="360" w:lineRule="auto"/>
        <w:jc w:val="left"/>
        <w:rPr>
          <w:rFonts w:hint="eastAsia" w:ascii="黑体" w:hAnsi="黑体" w:eastAsia="黑体"/>
        </w:rPr>
      </w:pPr>
    </w:p>
    <w:p w14:paraId="50FBFA3D">
      <w:pPr>
        <w:spacing w:line="360" w:lineRule="auto"/>
        <w:jc w:val="left"/>
        <w:rPr>
          <w:rFonts w:hint="eastAsia" w:ascii="黑体" w:hAnsi="黑体" w:eastAsia="黑体"/>
        </w:rPr>
      </w:pPr>
      <w:r>
        <w:rPr>
          <w:rFonts w:hint="eastAsia" w:ascii="黑体" w:hAnsi="黑体" w:eastAsia="黑体"/>
        </w:rPr>
        <w:t>K.1  原理</w:t>
      </w:r>
    </w:p>
    <w:p w14:paraId="6DBBE294">
      <w:pPr>
        <w:spacing w:line="360" w:lineRule="auto"/>
        <w:ind w:firstLine="420"/>
      </w:pPr>
      <w:r>
        <w:rPr>
          <w:rFonts w:hint="eastAsia"/>
        </w:rPr>
        <w:t>模拟样件实际使用状态，将器皿注入热水到其有效容量，并测量被测手柄所达到的最高温度，在水中加入染料，以便在发生泄漏时能够直观显示。</w:t>
      </w:r>
    </w:p>
    <w:p w14:paraId="5BF04199">
      <w:pPr>
        <w:spacing w:line="360" w:lineRule="auto"/>
        <w:jc w:val="left"/>
        <w:rPr>
          <w:rFonts w:hint="eastAsia" w:ascii="黑体" w:hAnsi="黑体" w:eastAsia="黑体"/>
        </w:rPr>
      </w:pPr>
      <w:r>
        <w:rPr>
          <w:rFonts w:hint="eastAsia" w:ascii="黑体" w:hAnsi="黑体" w:eastAsia="黑体"/>
        </w:rPr>
        <w:t>K.2  试验装置</w:t>
      </w:r>
    </w:p>
    <w:p w14:paraId="2B1171E9">
      <w:pPr>
        <w:spacing w:line="360" w:lineRule="auto"/>
        <w:rPr>
          <w:rFonts w:ascii="宋体"/>
        </w:rPr>
      </w:pPr>
      <w:r>
        <w:rPr>
          <w:rFonts w:hint="eastAsia"/>
        </w:rPr>
        <w:t>K.2.1  热电偶  精度为</w:t>
      </w:r>
      <w:r>
        <w:rPr>
          <w:rFonts w:hint="eastAsia" w:ascii="宋体"/>
        </w:rPr>
        <w:t>±3℃，范围为30℃～100℃，</w:t>
      </w:r>
      <w:r>
        <w:rPr>
          <w:rFonts w:ascii="宋体"/>
        </w:rPr>
        <w:t>由可与手柄紧密贴合的表面接触式探头组成。</w:t>
      </w:r>
    </w:p>
    <w:p w14:paraId="574BBDA0">
      <w:pPr>
        <w:spacing w:line="360" w:lineRule="auto"/>
      </w:pPr>
      <w:r>
        <w:rPr>
          <w:rFonts w:hint="eastAsia"/>
        </w:rPr>
        <w:t>K.2.2  可溶性染料</w:t>
      </w:r>
    </w:p>
    <w:p w14:paraId="0FB695FE">
      <w:pPr>
        <w:spacing w:line="360" w:lineRule="auto"/>
        <w:jc w:val="left"/>
        <w:rPr>
          <w:rFonts w:hint="eastAsia" w:ascii="黑体" w:hAnsi="黑体" w:eastAsia="黑体"/>
        </w:rPr>
      </w:pPr>
      <w:r>
        <w:rPr>
          <w:rFonts w:hint="eastAsia" w:ascii="黑体" w:hAnsi="黑体" w:eastAsia="黑体"/>
        </w:rPr>
        <w:t>K.3  试验步骤</w:t>
      </w:r>
    </w:p>
    <w:p w14:paraId="6AA4F635">
      <w:pPr>
        <w:spacing w:line="360" w:lineRule="auto"/>
      </w:pPr>
      <w:r>
        <w:rPr>
          <w:rFonts w:hint="eastAsia"/>
        </w:rPr>
        <w:t xml:space="preserve">K.3.1  </w:t>
      </w:r>
      <w:r>
        <w:t>将</w:t>
      </w:r>
      <w:r>
        <w:rPr>
          <w:rFonts w:hint="eastAsia"/>
        </w:rPr>
        <w:t>样件</w:t>
      </w:r>
      <w:r>
        <w:t>注满沸水，水位距容器边缘 15 mm ± 1 mm。约 30 秒后倒出热水，迅速更换为等量的、用可溶性染料染色的沸水。</w:t>
      </w:r>
    </w:p>
    <w:p w14:paraId="55862D4A">
      <w:pPr>
        <w:spacing w:line="360" w:lineRule="auto"/>
      </w:pPr>
      <w:r>
        <w:rPr>
          <w:rFonts w:hint="eastAsia"/>
        </w:rPr>
        <w:t xml:space="preserve">K.3.2  </w:t>
      </w:r>
      <w:r>
        <w:t>将</w:t>
      </w:r>
      <w:r>
        <w:rPr>
          <w:rFonts w:hint="eastAsia"/>
        </w:rPr>
        <w:t>样件</w:t>
      </w:r>
      <w:r>
        <w:t>放置在白色滤纸上，使用热电偶按固定时间间隔，测量手柄在正常使用中会被接触的所有部位的温度，直至温度开始下降。记录试验期间的环境温度，以及手柄任意部位达到的最高温度。</w:t>
      </w:r>
    </w:p>
    <w:p w14:paraId="17844827">
      <w:pPr>
        <w:spacing w:line="360" w:lineRule="auto"/>
      </w:pPr>
      <w:r>
        <w:rPr>
          <w:rFonts w:hint="eastAsia"/>
        </w:rPr>
        <w:t>K.3.3  经过30min后移去过滤纸并检查纸上是否有任何染料痕迹以确定试验样件是否泄露。</w:t>
      </w:r>
    </w:p>
    <w:p w14:paraId="48D0B298">
      <w:pPr>
        <w:spacing w:line="360" w:lineRule="auto"/>
      </w:pPr>
    </w:p>
    <w:p w14:paraId="0960546D">
      <w:pPr>
        <w:spacing w:line="360" w:lineRule="auto"/>
      </w:pPr>
    </w:p>
    <w:p w14:paraId="4F939FF4">
      <w:pPr>
        <w:spacing w:line="360" w:lineRule="auto"/>
      </w:pPr>
    </w:p>
    <w:p w14:paraId="6D6C42FB">
      <w:pPr>
        <w:spacing w:line="360" w:lineRule="auto"/>
      </w:pPr>
    </w:p>
    <w:p w14:paraId="6D52943D">
      <w:pPr>
        <w:spacing w:line="360" w:lineRule="auto"/>
      </w:pPr>
    </w:p>
    <w:p w14:paraId="140DC825">
      <w:pPr>
        <w:spacing w:line="360" w:lineRule="auto"/>
      </w:pPr>
    </w:p>
    <w:p w14:paraId="6FC40124">
      <w:pPr>
        <w:spacing w:line="360" w:lineRule="auto"/>
      </w:pPr>
    </w:p>
    <w:p w14:paraId="4D6CA9C7">
      <w:pPr>
        <w:spacing w:line="360" w:lineRule="auto"/>
      </w:pPr>
    </w:p>
    <w:p w14:paraId="5CBA201E">
      <w:pPr>
        <w:spacing w:line="360" w:lineRule="auto"/>
      </w:pPr>
    </w:p>
    <w:bookmarkEnd w:id="25"/>
    <w:p w14:paraId="6B6EFD28">
      <w:pPr>
        <w:pStyle w:val="56"/>
        <w:ind w:firstLine="0" w:firstLineChars="0"/>
        <w:jc w:val="center"/>
      </w:pPr>
      <w:bookmarkStart w:id="88" w:name="BookMark8"/>
      <w:r>
        <w:drawing>
          <wp:inline distT="0" distB="0" distL="0" distR="0">
            <wp:extent cx="1485900" cy="317500"/>
            <wp:effectExtent l="0" t="0" r="0" b="6350"/>
            <wp:docPr id="19" name="图片 19"/>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19">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88"/>
    </w:p>
    <w:sectPr>
      <w:pgSz w:w="11906" w:h="16838"/>
      <w:pgMar w:top="567"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ED4F17">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0E4DA">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9F0B98">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6E3DDA">
    <w:pPr>
      <w:pStyle w:val="52"/>
    </w:pPr>
    <w:r>
      <w:fldChar w:fldCharType="begin"/>
    </w:r>
    <w:r>
      <w:instrText xml:space="preserve">PAGE   \* MERGEFORMAT</w:instrText>
    </w:r>
    <w:r>
      <w:fldChar w:fldCharType="separate"/>
    </w:r>
    <w:r>
      <w:rPr>
        <w:lang w:val="zh-CN"/>
      </w:rPr>
      <w:t>24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2C8519">
    <w:pPr>
      <w:pStyle w:val="18"/>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97D041">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6144AF">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83BD03">
    <w:pPr>
      <w:pStyle w:val="61"/>
      <w:spacing w:after="0"/>
      <w:rPr>
        <w:rFonts w:hint="eastAsia"/>
      </w:rPr>
    </w:pPr>
    <w:r>
      <w:fldChar w:fldCharType="begin"/>
    </w:r>
    <w:r>
      <w:instrText xml:space="preserve"> STYLEREF  标准文件_文件编号  \* MERGEFORMAT </w:instrText>
    </w:r>
    <w:r>
      <w:fldChar w:fldCharType="separate"/>
    </w:r>
    <w:r>
      <w:t>GB/T XXXXX—XXXX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9FDD49">
    <w:pPr>
      <w:pStyle w:val="18"/>
      <w:jc w:val="right"/>
    </w:pPr>
    <w:r>
      <w:fldChar w:fldCharType="begin"/>
    </w:r>
    <w:r>
      <w:instrText xml:space="preserve"> STYLEREF  标准文件_文件编号  \* MERGEFORMAT </w:instrText>
    </w:r>
    <w:r>
      <w:fldChar w:fldCharType="separate"/>
    </w:r>
    <w:r>
      <w:t>GB/T XXXXX—XXXX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A5756F"/>
    <w:multiLevelType w:val="singleLevel"/>
    <w:tmpl w:val="0BA5756F"/>
    <w:lvl w:ilvl="0" w:tentative="0">
      <w:start w:val="1"/>
      <w:numFmt w:val="decimal"/>
      <w:lvlText w:val="%1"/>
      <w:lvlJc w:val="left"/>
      <w:pPr>
        <w:tabs>
          <w:tab w:val="left" w:pos="360"/>
        </w:tabs>
        <w:ind w:left="360" w:hanging="360"/>
      </w:pPr>
      <w:rPr>
        <w:rFonts w:hint="eastAsia"/>
      </w:rPr>
    </w:lvl>
  </w:abstractNum>
  <w:abstractNum w:abstractNumId="6">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8">
    <w:nsid w:val="11EF40DD"/>
    <w:multiLevelType w:val="multilevel"/>
    <w:tmpl w:val="11EF40DD"/>
    <w:lvl w:ilvl="0" w:tentative="0">
      <w:start w:val="3"/>
      <w:numFmt w:val="decimal"/>
      <w:lvlText w:val="%1"/>
      <w:lvlJc w:val="left"/>
      <w:pPr>
        <w:ind w:left="360" w:hanging="360"/>
      </w:pPr>
      <w:rPr>
        <w:rFonts w:hint="default"/>
      </w:rPr>
    </w:lvl>
    <w:lvl w:ilvl="1" w:tentative="0">
      <w:start w:val="1"/>
      <w:numFmt w:val="decimal"/>
      <w:isLgl/>
      <w:lvlText w:val="%1.%2"/>
      <w:lvlJc w:val="left"/>
      <w:pPr>
        <w:ind w:left="360" w:hanging="36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080" w:hanging="108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440" w:hanging="1440"/>
      </w:pPr>
      <w:rPr>
        <w:rFonts w:hint="default"/>
      </w:rPr>
    </w:lvl>
  </w:abstractNum>
  <w:abstractNum w:abstractNumId="9">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1">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2">
    <w:nsid w:val="2B1874FF"/>
    <w:multiLevelType w:val="singleLevel"/>
    <w:tmpl w:val="2B1874FF"/>
    <w:lvl w:ilvl="0" w:tentative="0">
      <w:start w:val="1"/>
      <w:numFmt w:val="lowerLetter"/>
      <w:lvlText w:val="%1)"/>
      <w:lvlJc w:val="left"/>
      <w:pPr>
        <w:tabs>
          <w:tab w:val="left" w:pos="690"/>
        </w:tabs>
        <w:ind w:left="690" w:hanging="210"/>
      </w:pPr>
      <w:rPr>
        <w:rFonts w:hint="default"/>
      </w:rPr>
    </w:lvl>
  </w:abstractNum>
  <w:abstractNum w:abstractNumId="13">
    <w:nsid w:val="2BE92070"/>
    <w:multiLevelType w:val="multilevel"/>
    <w:tmpl w:val="2BE92070"/>
    <w:lvl w:ilvl="0" w:tentative="0">
      <w:start w:val="1"/>
      <w:numFmt w:val="decimal"/>
      <w:pStyle w:val="235"/>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34"/>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233"/>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4">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5">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6">
    <w:nsid w:val="370B614A"/>
    <w:multiLevelType w:val="multilevel"/>
    <w:tmpl w:val="370B614A"/>
    <w:lvl w:ilvl="0" w:tentative="0">
      <w:start w:val="3"/>
      <w:numFmt w:val="decimal"/>
      <w:lvlText w:val="%1"/>
      <w:lvlJc w:val="left"/>
      <w:pPr>
        <w:ind w:left="360" w:hanging="360"/>
      </w:pPr>
      <w:rPr>
        <w:rFonts w:hint="default"/>
      </w:rPr>
    </w:lvl>
    <w:lvl w:ilvl="1" w:tentative="0">
      <w:start w:val="3"/>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17">
    <w:nsid w:val="424341F7"/>
    <w:multiLevelType w:val="multilevel"/>
    <w:tmpl w:val="424341F7"/>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43335030"/>
    <w:multiLevelType w:val="multilevel"/>
    <w:tmpl w:val="43335030"/>
    <w:lvl w:ilvl="0" w:tentative="0">
      <w:start w:val="4"/>
      <w:numFmt w:val="decimal"/>
      <w:lvlText w:val="%1"/>
      <w:lvlJc w:val="left"/>
      <w:pPr>
        <w:ind w:left="430" w:hanging="430"/>
      </w:pPr>
      <w:rPr>
        <w:rFonts w:hint="default"/>
      </w:rPr>
    </w:lvl>
    <w:lvl w:ilvl="1" w:tentative="0">
      <w:start w:val="1"/>
      <w:numFmt w:val="decimal"/>
      <w:lvlText w:val="%1.%2"/>
      <w:lvlJc w:val="left"/>
      <w:pPr>
        <w:ind w:left="430" w:hanging="430"/>
      </w:pPr>
      <w:rPr>
        <w:rFonts w:hint="default" w:ascii="黑体" w:hAnsi="黑体" w:eastAsia="黑体"/>
      </w:rPr>
    </w:lvl>
    <w:lvl w:ilvl="2" w:tentative="0">
      <w:start w:val="1"/>
      <w:numFmt w:val="decimal"/>
      <w:lvlText w:val="%1.%2.%3"/>
      <w:lvlJc w:val="left"/>
      <w:pPr>
        <w:ind w:left="720" w:hanging="720"/>
      </w:pPr>
      <w:rPr>
        <w:rFonts w:hint="default" w:ascii="黑体" w:hAnsi="黑体" w:eastAsia="黑体"/>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19">
    <w:nsid w:val="44C50F90"/>
    <w:multiLevelType w:val="multilevel"/>
    <w:tmpl w:val="44C50F90"/>
    <w:lvl w:ilvl="0" w:tentative="0">
      <w:start w:val="1"/>
      <w:numFmt w:val="lowerLetter"/>
      <w:pStyle w:val="237"/>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0">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1">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22">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3">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24">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5">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6">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8">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9">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30">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1">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32">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3">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5">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6">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7">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34"/>
  </w:num>
  <w:num w:numId="3">
    <w:abstractNumId w:val="6"/>
  </w:num>
  <w:num w:numId="4">
    <w:abstractNumId w:val="30"/>
  </w:num>
  <w:num w:numId="5">
    <w:abstractNumId w:val="25"/>
  </w:num>
  <w:num w:numId="6">
    <w:abstractNumId w:val="20"/>
  </w:num>
  <w:num w:numId="7">
    <w:abstractNumId w:val="10"/>
  </w:num>
  <w:num w:numId="8">
    <w:abstractNumId w:val="3"/>
  </w:num>
  <w:num w:numId="9">
    <w:abstractNumId w:val="11"/>
  </w:num>
  <w:num w:numId="10">
    <w:abstractNumId w:val="23"/>
  </w:num>
  <w:num w:numId="11">
    <w:abstractNumId w:val="32"/>
  </w:num>
  <w:num w:numId="12">
    <w:abstractNumId w:val="15"/>
  </w:num>
  <w:num w:numId="13">
    <w:abstractNumId w:val="19"/>
  </w:num>
  <w:num w:numId="14">
    <w:abstractNumId w:val="9"/>
  </w:num>
  <w:num w:numId="15">
    <w:abstractNumId w:val="26"/>
  </w:num>
  <w:num w:numId="16">
    <w:abstractNumId w:val="28"/>
  </w:num>
  <w:num w:numId="17">
    <w:abstractNumId w:val="24"/>
  </w:num>
  <w:num w:numId="18">
    <w:abstractNumId w:val="36"/>
  </w:num>
  <w:num w:numId="19">
    <w:abstractNumId w:val="22"/>
  </w:num>
  <w:num w:numId="20">
    <w:abstractNumId w:val="1"/>
  </w:num>
  <w:num w:numId="21">
    <w:abstractNumId w:val="14"/>
  </w:num>
  <w:num w:numId="22">
    <w:abstractNumId w:val="37"/>
  </w:num>
  <w:num w:numId="23">
    <w:abstractNumId w:val="27"/>
  </w:num>
  <w:num w:numId="24">
    <w:abstractNumId w:val="7"/>
  </w:num>
  <w:num w:numId="25">
    <w:abstractNumId w:val="33"/>
  </w:num>
  <w:num w:numId="26">
    <w:abstractNumId w:val="35"/>
  </w:num>
  <w:num w:numId="27">
    <w:abstractNumId w:val="2"/>
  </w:num>
  <w:num w:numId="28">
    <w:abstractNumId w:val="4"/>
  </w:num>
  <w:num w:numId="29">
    <w:abstractNumId w:val="21"/>
  </w:num>
  <w:num w:numId="30">
    <w:abstractNumId w:val="31"/>
  </w:num>
  <w:num w:numId="31">
    <w:abstractNumId w:val="29"/>
  </w:num>
  <w:num w:numId="32">
    <w:abstractNumId w:val="13"/>
  </w:num>
  <w:num w:numId="33">
    <w:abstractNumId w:val="8"/>
  </w:num>
  <w:num w:numId="34">
    <w:abstractNumId w:val="16"/>
  </w:num>
  <w:num w:numId="35">
    <w:abstractNumId w:val="18"/>
  </w:num>
  <w:num w:numId="36">
    <w:abstractNumId w:val="12"/>
  </w:num>
  <w:num w:numId="37">
    <w:abstractNumId w:val="17"/>
  </w:num>
  <w:num w:numId="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bordersDoNotSurroundHeader w:val="1"/>
  <w:bordersDoNotSurroundFooter w:val="1"/>
  <w:attachedTemplate r:id="rId1"/>
  <w:documentProtection w:edit="forms" w:enforcement="1" w:cryptProviderType="rsaAES" w:cryptAlgorithmClass="hash" w:cryptAlgorithmType="typeAny" w:cryptAlgorithmSid="14" w:cryptSpinCount="100000" w:hash="mURYw8M6aKWbdBEyuoyGXA7yFGUMG58VR5yOjjO2+WN/KDBPUsy0WUs4BROnJckOtp0vmGGRU3thcANc48BHyw==" w:salt="Kl+8ZtdbxXIBuE/8VZp8yQ=="/>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wNDY0MzI4YTE3MzExNWRhNzYwZTlkYjU4MDg4YzgifQ=="/>
  </w:docVars>
  <w:rsids>
    <w:rsidRoot w:val="00F35AB2"/>
    <w:rsid w:val="0000040A"/>
    <w:rsid w:val="00000A94"/>
    <w:rsid w:val="00001972"/>
    <w:rsid w:val="00001D9A"/>
    <w:rsid w:val="00005694"/>
    <w:rsid w:val="00007B3A"/>
    <w:rsid w:val="000107E0"/>
    <w:rsid w:val="00011A3F"/>
    <w:rsid w:val="00011BE9"/>
    <w:rsid w:val="00011FDE"/>
    <w:rsid w:val="00012FFD"/>
    <w:rsid w:val="00014162"/>
    <w:rsid w:val="00014340"/>
    <w:rsid w:val="00016A9C"/>
    <w:rsid w:val="00022184"/>
    <w:rsid w:val="00022762"/>
    <w:rsid w:val="000238E0"/>
    <w:rsid w:val="000249DB"/>
    <w:rsid w:val="0002595E"/>
    <w:rsid w:val="000303C3"/>
    <w:rsid w:val="00031809"/>
    <w:rsid w:val="000331D3"/>
    <w:rsid w:val="000333E3"/>
    <w:rsid w:val="000346A5"/>
    <w:rsid w:val="000359C3"/>
    <w:rsid w:val="00035A7D"/>
    <w:rsid w:val="0004249A"/>
    <w:rsid w:val="00043282"/>
    <w:rsid w:val="00044286"/>
    <w:rsid w:val="00047F28"/>
    <w:rsid w:val="00047FB6"/>
    <w:rsid w:val="000503AA"/>
    <w:rsid w:val="000506A1"/>
    <w:rsid w:val="000515DD"/>
    <w:rsid w:val="00052037"/>
    <w:rsid w:val="0005265A"/>
    <w:rsid w:val="000539DD"/>
    <w:rsid w:val="00053BD3"/>
    <w:rsid w:val="00055067"/>
    <w:rsid w:val="000556ED"/>
    <w:rsid w:val="00055922"/>
    <w:rsid w:val="00055FE2"/>
    <w:rsid w:val="0005616F"/>
    <w:rsid w:val="00060C2E"/>
    <w:rsid w:val="00061033"/>
    <w:rsid w:val="000619E9"/>
    <w:rsid w:val="000622D4"/>
    <w:rsid w:val="0006357D"/>
    <w:rsid w:val="0006403E"/>
    <w:rsid w:val="0006590E"/>
    <w:rsid w:val="00065CDE"/>
    <w:rsid w:val="00067F1E"/>
    <w:rsid w:val="00071CC0"/>
    <w:rsid w:val="000724A8"/>
    <w:rsid w:val="00073C8C"/>
    <w:rsid w:val="00076603"/>
    <w:rsid w:val="0007779D"/>
    <w:rsid w:val="00077B64"/>
    <w:rsid w:val="00077C97"/>
    <w:rsid w:val="00080A1C"/>
    <w:rsid w:val="00081B08"/>
    <w:rsid w:val="00082317"/>
    <w:rsid w:val="00083D2C"/>
    <w:rsid w:val="000860B3"/>
    <w:rsid w:val="00086AA1"/>
    <w:rsid w:val="00087A77"/>
    <w:rsid w:val="00090CA6"/>
    <w:rsid w:val="00091884"/>
    <w:rsid w:val="00092B8A"/>
    <w:rsid w:val="00092FB0"/>
    <w:rsid w:val="000934C5"/>
    <w:rsid w:val="00093D25"/>
    <w:rsid w:val="00094D73"/>
    <w:rsid w:val="00096D63"/>
    <w:rsid w:val="000A0B60"/>
    <w:rsid w:val="000A0EB8"/>
    <w:rsid w:val="000A1242"/>
    <w:rsid w:val="000A19FC"/>
    <w:rsid w:val="000A296B"/>
    <w:rsid w:val="000A6023"/>
    <w:rsid w:val="000A7311"/>
    <w:rsid w:val="000B060F"/>
    <w:rsid w:val="000B0A8E"/>
    <w:rsid w:val="000B1592"/>
    <w:rsid w:val="000B1FF2"/>
    <w:rsid w:val="000B3CDA"/>
    <w:rsid w:val="000B6A0B"/>
    <w:rsid w:val="000C0F6C"/>
    <w:rsid w:val="000C11DB"/>
    <w:rsid w:val="000C2F1E"/>
    <w:rsid w:val="000C2FBD"/>
    <w:rsid w:val="000C3E10"/>
    <w:rsid w:val="000C491F"/>
    <w:rsid w:val="000C4B41"/>
    <w:rsid w:val="000C4F01"/>
    <w:rsid w:val="000C57D6"/>
    <w:rsid w:val="000C7666"/>
    <w:rsid w:val="000C769C"/>
    <w:rsid w:val="000C7F19"/>
    <w:rsid w:val="000D0A9C"/>
    <w:rsid w:val="000D1795"/>
    <w:rsid w:val="000D31F9"/>
    <w:rsid w:val="000D329A"/>
    <w:rsid w:val="000D4B9C"/>
    <w:rsid w:val="000D4EB6"/>
    <w:rsid w:val="000D67D9"/>
    <w:rsid w:val="000D753B"/>
    <w:rsid w:val="000E23A6"/>
    <w:rsid w:val="000E4C9E"/>
    <w:rsid w:val="000E6FD7"/>
    <w:rsid w:val="000F06E1"/>
    <w:rsid w:val="000F0E3C"/>
    <w:rsid w:val="000F19D5"/>
    <w:rsid w:val="000F1DAD"/>
    <w:rsid w:val="000F22CA"/>
    <w:rsid w:val="000F2F4D"/>
    <w:rsid w:val="000F4999"/>
    <w:rsid w:val="000F4AE6"/>
    <w:rsid w:val="000F4AEA"/>
    <w:rsid w:val="000F6501"/>
    <w:rsid w:val="000F67E9"/>
    <w:rsid w:val="001016A7"/>
    <w:rsid w:val="00101A7E"/>
    <w:rsid w:val="00104926"/>
    <w:rsid w:val="00105EAE"/>
    <w:rsid w:val="00113B1E"/>
    <w:rsid w:val="00114D52"/>
    <w:rsid w:val="0011711C"/>
    <w:rsid w:val="0011713B"/>
    <w:rsid w:val="001174A6"/>
    <w:rsid w:val="00124E4F"/>
    <w:rsid w:val="001260B7"/>
    <w:rsid w:val="001265CB"/>
    <w:rsid w:val="00130663"/>
    <w:rsid w:val="001321C6"/>
    <w:rsid w:val="001325C4"/>
    <w:rsid w:val="00133010"/>
    <w:rsid w:val="001337A1"/>
    <w:rsid w:val="001338EE"/>
    <w:rsid w:val="00133AAE"/>
    <w:rsid w:val="00135323"/>
    <w:rsid w:val="001356C4"/>
    <w:rsid w:val="00140FD2"/>
    <w:rsid w:val="00141114"/>
    <w:rsid w:val="00142969"/>
    <w:rsid w:val="001457E7"/>
    <w:rsid w:val="00145D9D"/>
    <w:rsid w:val="00146388"/>
    <w:rsid w:val="001464B3"/>
    <w:rsid w:val="001529E5"/>
    <w:rsid w:val="00152BF0"/>
    <w:rsid w:val="00153C7E"/>
    <w:rsid w:val="00155ED6"/>
    <w:rsid w:val="00156B25"/>
    <w:rsid w:val="00156E1A"/>
    <w:rsid w:val="00157B55"/>
    <w:rsid w:val="00160ABC"/>
    <w:rsid w:val="00161EC0"/>
    <w:rsid w:val="00162CF3"/>
    <w:rsid w:val="001642FA"/>
    <w:rsid w:val="001649EB"/>
    <w:rsid w:val="00164AED"/>
    <w:rsid w:val="00164BAF"/>
    <w:rsid w:val="00164FA8"/>
    <w:rsid w:val="00165065"/>
    <w:rsid w:val="00165434"/>
    <w:rsid w:val="0016580B"/>
    <w:rsid w:val="00165F49"/>
    <w:rsid w:val="00166526"/>
    <w:rsid w:val="00166B88"/>
    <w:rsid w:val="0016770A"/>
    <w:rsid w:val="00170804"/>
    <w:rsid w:val="001708E9"/>
    <w:rsid w:val="0017340B"/>
    <w:rsid w:val="00173FB1"/>
    <w:rsid w:val="00176DFD"/>
    <w:rsid w:val="001815DC"/>
    <w:rsid w:val="001830C5"/>
    <w:rsid w:val="001852C9"/>
    <w:rsid w:val="00190087"/>
    <w:rsid w:val="00190462"/>
    <w:rsid w:val="00191096"/>
    <w:rsid w:val="001913C4"/>
    <w:rsid w:val="0019348F"/>
    <w:rsid w:val="00193A07"/>
    <w:rsid w:val="00194C95"/>
    <w:rsid w:val="00194D5C"/>
    <w:rsid w:val="00195C34"/>
    <w:rsid w:val="00197D87"/>
    <w:rsid w:val="001A1A53"/>
    <w:rsid w:val="001A234A"/>
    <w:rsid w:val="001B06E8"/>
    <w:rsid w:val="001B505E"/>
    <w:rsid w:val="001B71D0"/>
    <w:rsid w:val="001B71EE"/>
    <w:rsid w:val="001C0101"/>
    <w:rsid w:val="001C013C"/>
    <w:rsid w:val="001C04A8"/>
    <w:rsid w:val="001C2C03"/>
    <w:rsid w:val="001C42F7"/>
    <w:rsid w:val="001C4942"/>
    <w:rsid w:val="001C49E5"/>
    <w:rsid w:val="001C680C"/>
    <w:rsid w:val="001C7499"/>
    <w:rsid w:val="001C7FEA"/>
    <w:rsid w:val="001D0499"/>
    <w:rsid w:val="001D0BBE"/>
    <w:rsid w:val="001D0ED4"/>
    <w:rsid w:val="001D1C53"/>
    <w:rsid w:val="001D212F"/>
    <w:rsid w:val="001D29D7"/>
    <w:rsid w:val="001D2DE7"/>
    <w:rsid w:val="001D411C"/>
    <w:rsid w:val="001D463B"/>
    <w:rsid w:val="001D65C7"/>
    <w:rsid w:val="001E076A"/>
    <w:rsid w:val="001E1B6A"/>
    <w:rsid w:val="001E2484"/>
    <w:rsid w:val="001E3CC4"/>
    <w:rsid w:val="001E4882"/>
    <w:rsid w:val="001E73AB"/>
    <w:rsid w:val="001F092D"/>
    <w:rsid w:val="001F143A"/>
    <w:rsid w:val="001F1605"/>
    <w:rsid w:val="001F2508"/>
    <w:rsid w:val="001F4816"/>
    <w:rsid w:val="001F4C60"/>
    <w:rsid w:val="001F69B4"/>
    <w:rsid w:val="001F77C7"/>
    <w:rsid w:val="00200183"/>
    <w:rsid w:val="0020107D"/>
    <w:rsid w:val="00202AA4"/>
    <w:rsid w:val="002031F7"/>
    <w:rsid w:val="00203547"/>
    <w:rsid w:val="002040E6"/>
    <w:rsid w:val="0020527B"/>
    <w:rsid w:val="002055F8"/>
    <w:rsid w:val="00207578"/>
    <w:rsid w:val="00210B15"/>
    <w:rsid w:val="002142EA"/>
    <w:rsid w:val="002204BB"/>
    <w:rsid w:val="00221B79"/>
    <w:rsid w:val="00221C6B"/>
    <w:rsid w:val="0022505C"/>
    <w:rsid w:val="002253A1"/>
    <w:rsid w:val="00225CF8"/>
    <w:rsid w:val="0022794E"/>
    <w:rsid w:val="00233D64"/>
    <w:rsid w:val="0023482A"/>
    <w:rsid w:val="0023597A"/>
    <w:rsid w:val="002359CB"/>
    <w:rsid w:val="002427F2"/>
    <w:rsid w:val="00243540"/>
    <w:rsid w:val="0024497B"/>
    <w:rsid w:val="0024515B"/>
    <w:rsid w:val="00246021"/>
    <w:rsid w:val="0024666E"/>
    <w:rsid w:val="00247F52"/>
    <w:rsid w:val="00250B25"/>
    <w:rsid w:val="00250BBE"/>
    <w:rsid w:val="00251002"/>
    <w:rsid w:val="0025194F"/>
    <w:rsid w:val="00253F14"/>
    <w:rsid w:val="00260417"/>
    <w:rsid w:val="0026148A"/>
    <w:rsid w:val="00262696"/>
    <w:rsid w:val="002643C3"/>
    <w:rsid w:val="002646A3"/>
    <w:rsid w:val="00264A0C"/>
    <w:rsid w:val="00266482"/>
    <w:rsid w:val="00267EF4"/>
    <w:rsid w:val="00270CB8"/>
    <w:rsid w:val="00272B08"/>
    <w:rsid w:val="00280C85"/>
    <w:rsid w:val="00281BB8"/>
    <w:rsid w:val="00281E9E"/>
    <w:rsid w:val="00285170"/>
    <w:rsid w:val="00285361"/>
    <w:rsid w:val="0029019A"/>
    <w:rsid w:val="00292D6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F44"/>
    <w:rsid w:val="002B0C40"/>
    <w:rsid w:val="002B1966"/>
    <w:rsid w:val="002B4508"/>
    <w:rsid w:val="002B5779"/>
    <w:rsid w:val="002B7332"/>
    <w:rsid w:val="002B7F51"/>
    <w:rsid w:val="002C01D4"/>
    <w:rsid w:val="002C05AE"/>
    <w:rsid w:val="002C09E7"/>
    <w:rsid w:val="002C1B28"/>
    <w:rsid w:val="002C3F07"/>
    <w:rsid w:val="002C4FBC"/>
    <w:rsid w:val="002C5278"/>
    <w:rsid w:val="002C6620"/>
    <w:rsid w:val="002C7EBB"/>
    <w:rsid w:val="002D06C1"/>
    <w:rsid w:val="002D42B5"/>
    <w:rsid w:val="002D4F1A"/>
    <w:rsid w:val="002D6EC6"/>
    <w:rsid w:val="002D79AC"/>
    <w:rsid w:val="002E039D"/>
    <w:rsid w:val="002E4D5A"/>
    <w:rsid w:val="002E4E0C"/>
    <w:rsid w:val="002E6053"/>
    <w:rsid w:val="002E6326"/>
    <w:rsid w:val="002F30E0"/>
    <w:rsid w:val="002F35E4"/>
    <w:rsid w:val="002F3730"/>
    <w:rsid w:val="002F38E1"/>
    <w:rsid w:val="002F52E1"/>
    <w:rsid w:val="002F5C97"/>
    <w:rsid w:val="002F7AF6"/>
    <w:rsid w:val="00300E63"/>
    <w:rsid w:val="00302F5F"/>
    <w:rsid w:val="0030441D"/>
    <w:rsid w:val="00306063"/>
    <w:rsid w:val="00306C65"/>
    <w:rsid w:val="0031147D"/>
    <w:rsid w:val="00313B85"/>
    <w:rsid w:val="00314BDF"/>
    <w:rsid w:val="003152DD"/>
    <w:rsid w:val="00317988"/>
    <w:rsid w:val="003200D9"/>
    <w:rsid w:val="003221B4"/>
    <w:rsid w:val="00322E62"/>
    <w:rsid w:val="00324EDD"/>
    <w:rsid w:val="00326C94"/>
    <w:rsid w:val="003317AE"/>
    <w:rsid w:val="00331ECF"/>
    <w:rsid w:val="003342EC"/>
    <w:rsid w:val="00334F54"/>
    <w:rsid w:val="003364DA"/>
    <w:rsid w:val="00336C64"/>
    <w:rsid w:val="00337162"/>
    <w:rsid w:val="0034194F"/>
    <w:rsid w:val="00343510"/>
    <w:rsid w:val="00344605"/>
    <w:rsid w:val="00344C52"/>
    <w:rsid w:val="00347031"/>
    <w:rsid w:val="003474AA"/>
    <w:rsid w:val="00350D1D"/>
    <w:rsid w:val="00352C83"/>
    <w:rsid w:val="00357FD0"/>
    <w:rsid w:val="003615D2"/>
    <w:rsid w:val="00362F5A"/>
    <w:rsid w:val="0036429C"/>
    <w:rsid w:val="00364A53"/>
    <w:rsid w:val="003654CB"/>
    <w:rsid w:val="00365F86"/>
    <w:rsid w:val="00365F87"/>
    <w:rsid w:val="00367C7F"/>
    <w:rsid w:val="003705F4"/>
    <w:rsid w:val="00370D58"/>
    <w:rsid w:val="00371316"/>
    <w:rsid w:val="00371CAC"/>
    <w:rsid w:val="00375D67"/>
    <w:rsid w:val="00376713"/>
    <w:rsid w:val="00376CEE"/>
    <w:rsid w:val="00377181"/>
    <w:rsid w:val="0037749F"/>
    <w:rsid w:val="00381815"/>
    <w:rsid w:val="003819AF"/>
    <w:rsid w:val="003820E9"/>
    <w:rsid w:val="003821A3"/>
    <w:rsid w:val="00382DE7"/>
    <w:rsid w:val="003843E5"/>
    <w:rsid w:val="00384FFC"/>
    <w:rsid w:val="003850A8"/>
    <w:rsid w:val="003872FC"/>
    <w:rsid w:val="00387ADC"/>
    <w:rsid w:val="00390020"/>
    <w:rsid w:val="003903D6"/>
    <w:rsid w:val="00390EE6"/>
    <w:rsid w:val="0039118F"/>
    <w:rsid w:val="00392AD7"/>
    <w:rsid w:val="003938D9"/>
    <w:rsid w:val="00394376"/>
    <w:rsid w:val="003943FF"/>
    <w:rsid w:val="00394E8B"/>
    <w:rsid w:val="003974EB"/>
    <w:rsid w:val="00397CC5"/>
    <w:rsid w:val="003A1582"/>
    <w:rsid w:val="003A39F9"/>
    <w:rsid w:val="003A4077"/>
    <w:rsid w:val="003A4964"/>
    <w:rsid w:val="003A7671"/>
    <w:rsid w:val="003B09AD"/>
    <w:rsid w:val="003B1F18"/>
    <w:rsid w:val="003B5BF0"/>
    <w:rsid w:val="003B60BF"/>
    <w:rsid w:val="003B61DF"/>
    <w:rsid w:val="003B6BE3"/>
    <w:rsid w:val="003C010C"/>
    <w:rsid w:val="003C0A6C"/>
    <w:rsid w:val="003C2283"/>
    <w:rsid w:val="003C42E6"/>
    <w:rsid w:val="003C5A43"/>
    <w:rsid w:val="003C60E4"/>
    <w:rsid w:val="003D0519"/>
    <w:rsid w:val="003D0FF6"/>
    <w:rsid w:val="003D262C"/>
    <w:rsid w:val="003D2713"/>
    <w:rsid w:val="003D304A"/>
    <w:rsid w:val="003D6D61"/>
    <w:rsid w:val="003E091D"/>
    <w:rsid w:val="003E1625"/>
    <w:rsid w:val="003E1C53"/>
    <w:rsid w:val="003E213B"/>
    <w:rsid w:val="003E2A69"/>
    <w:rsid w:val="003E2D49"/>
    <w:rsid w:val="003E2FD4"/>
    <w:rsid w:val="003E3336"/>
    <w:rsid w:val="003E49F6"/>
    <w:rsid w:val="003F0841"/>
    <w:rsid w:val="003F09FB"/>
    <w:rsid w:val="003F166A"/>
    <w:rsid w:val="003F22BE"/>
    <w:rsid w:val="003F23D3"/>
    <w:rsid w:val="003F3F08"/>
    <w:rsid w:val="003F49F1"/>
    <w:rsid w:val="003F6272"/>
    <w:rsid w:val="003F79AC"/>
    <w:rsid w:val="00400E72"/>
    <w:rsid w:val="00401400"/>
    <w:rsid w:val="004034E7"/>
    <w:rsid w:val="00404869"/>
    <w:rsid w:val="00405884"/>
    <w:rsid w:val="00405C70"/>
    <w:rsid w:val="00407421"/>
    <w:rsid w:val="00407D39"/>
    <w:rsid w:val="004133D2"/>
    <w:rsid w:val="0041477A"/>
    <w:rsid w:val="004167A3"/>
    <w:rsid w:val="00422E61"/>
    <w:rsid w:val="00426A72"/>
    <w:rsid w:val="00432BB1"/>
    <w:rsid w:val="00432DAA"/>
    <w:rsid w:val="00434305"/>
    <w:rsid w:val="004347D3"/>
    <w:rsid w:val="00435DF7"/>
    <w:rsid w:val="0044083F"/>
    <w:rsid w:val="004412E6"/>
    <w:rsid w:val="00441AE7"/>
    <w:rsid w:val="00442651"/>
    <w:rsid w:val="00444ED9"/>
    <w:rsid w:val="00445574"/>
    <w:rsid w:val="004467FB"/>
    <w:rsid w:val="0045045D"/>
    <w:rsid w:val="00452D6B"/>
    <w:rsid w:val="00453674"/>
    <w:rsid w:val="00454484"/>
    <w:rsid w:val="0045479C"/>
    <w:rsid w:val="00454BBD"/>
    <w:rsid w:val="0045517B"/>
    <w:rsid w:val="00455CE6"/>
    <w:rsid w:val="00460CDF"/>
    <w:rsid w:val="00463B77"/>
    <w:rsid w:val="00463C7B"/>
    <w:rsid w:val="004644A6"/>
    <w:rsid w:val="004659BD"/>
    <w:rsid w:val="00470775"/>
    <w:rsid w:val="0047269F"/>
    <w:rsid w:val="004746B1"/>
    <w:rsid w:val="00474FD1"/>
    <w:rsid w:val="0047583F"/>
    <w:rsid w:val="004767AF"/>
    <w:rsid w:val="00484936"/>
    <w:rsid w:val="00485C89"/>
    <w:rsid w:val="004866A1"/>
    <w:rsid w:val="00486BE3"/>
    <w:rsid w:val="004905E4"/>
    <w:rsid w:val="00490A89"/>
    <w:rsid w:val="00490AB4"/>
    <w:rsid w:val="00492F02"/>
    <w:rsid w:val="00493702"/>
    <w:rsid w:val="004939AE"/>
    <w:rsid w:val="00495432"/>
    <w:rsid w:val="004A12DF"/>
    <w:rsid w:val="004A1BA8"/>
    <w:rsid w:val="004A3BA4"/>
    <w:rsid w:val="004A4B57"/>
    <w:rsid w:val="004A63FA"/>
    <w:rsid w:val="004B2701"/>
    <w:rsid w:val="004B2E1B"/>
    <w:rsid w:val="004B3E93"/>
    <w:rsid w:val="004B4489"/>
    <w:rsid w:val="004B6494"/>
    <w:rsid w:val="004B741A"/>
    <w:rsid w:val="004B7E5D"/>
    <w:rsid w:val="004C0478"/>
    <w:rsid w:val="004C1FBC"/>
    <w:rsid w:val="004C3F1D"/>
    <w:rsid w:val="004C458D"/>
    <w:rsid w:val="004C7556"/>
    <w:rsid w:val="004C76EC"/>
    <w:rsid w:val="004C7E9D"/>
    <w:rsid w:val="004C7F67"/>
    <w:rsid w:val="004D076D"/>
    <w:rsid w:val="004D0EF1"/>
    <w:rsid w:val="004D2253"/>
    <w:rsid w:val="004D4406"/>
    <w:rsid w:val="004D7C42"/>
    <w:rsid w:val="004E0465"/>
    <w:rsid w:val="004E127B"/>
    <w:rsid w:val="004E1C0A"/>
    <w:rsid w:val="004E30C5"/>
    <w:rsid w:val="004E36C1"/>
    <w:rsid w:val="004E4AA5"/>
    <w:rsid w:val="004E4AEE"/>
    <w:rsid w:val="004E59E3"/>
    <w:rsid w:val="004E67C0"/>
    <w:rsid w:val="004F2937"/>
    <w:rsid w:val="004F2EA3"/>
    <w:rsid w:val="004F391A"/>
    <w:rsid w:val="004F3CFB"/>
    <w:rsid w:val="004F45F4"/>
    <w:rsid w:val="004F4CF7"/>
    <w:rsid w:val="004F6456"/>
    <w:rsid w:val="004F696E"/>
    <w:rsid w:val="004F6C71"/>
    <w:rsid w:val="00501139"/>
    <w:rsid w:val="005029E3"/>
    <w:rsid w:val="0050363E"/>
    <w:rsid w:val="005039BC"/>
    <w:rsid w:val="005043BB"/>
    <w:rsid w:val="00504A3D"/>
    <w:rsid w:val="00505767"/>
    <w:rsid w:val="005073F0"/>
    <w:rsid w:val="00510A7B"/>
    <w:rsid w:val="005117C5"/>
    <w:rsid w:val="00512F6E"/>
    <w:rsid w:val="00513038"/>
    <w:rsid w:val="00514174"/>
    <w:rsid w:val="00514DF9"/>
    <w:rsid w:val="00516088"/>
    <w:rsid w:val="00516B0B"/>
    <w:rsid w:val="005220EC"/>
    <w:rsid w:val="00522B79"/>
    <w:rsid w:val="00523F95"/>
    <w:rsid w:val="00524D65"/>
    <w:rsid w:val="00525B16"/>
    <w:rsid w:val="00526233"/>
    <w:rsid w:val="00530026"/>
    <w:rsid w:val="00532E67"/>
    <w:rsid w:val="005338AC"/>
    <w:rsid w:val="00533D04"/>
    <w:rsid w:val="00534804"/>
    <w:rsid w:val="00534A25"/>
    <w:rsid w:val="00534BDF"/>
    <w:rsid w:val="005354EA"/>
    <w:rsid w:val="00535A87"/>
    <w:rsid w:val="00535EC4"/>
    <w:rsid w:val="00535ED9"/>
    <w:rsid w:val="00536011"/>
    <w:rsid w:val="0053692B"/>
    <w:rsid w:val="00541853"/>
    <w:rsid w:val="00541B26"/>
    <w:rsid w:val="0054218B"/>
    <w:rsid w:val="00543BDA"/>
    <w:rsid w:val="005441CC"/>
    <w:rsid w:val="00545D9D"/>
    <w:rsid w:val="005479DA"/>
    <w:rsid w:val="00547BCC"/>
    <w:rsid w:val="0055013B"/>
    <w:rsid w:val="00551F6F"/>
    <w:rsid w:val="00554ED5"/>
    <w:rsid w:val="00555044"/>
    <w:rsid w:val="00561475"/>
    <w:rsid w:val="00562980"/>
    <w:rsid w:val="0056487B"/>
    <w:rsid w:val="00564FB9"/>
    <w:rsid w:val="0057077D"/>
    <w:rsid w:val="005708F8"/>
    <w:rsid w:val="00573559"/>
    <w:rsid w:val="00573D9E"/>
    <w:rsid w:val="00576E78"/>
    <w:rsid w:val="00577549"/>
    <w:rsid w:val="005801E3"/>
    <w:rsid w:val="00581802"/>
    <w:rsid w:val="005836A8"/>
    <w:rsid w:val="00584262"/>
    <w:rsid w:val="00586630"/>
    <w:rsid w:val="00587ADD"/>
    <w:rsid w:val="00592279"/>
    <w:rsid w:val="00596160"/>
    <w:rsid w:val="005966E2"/>
    <w:rsid w:val="00597007"/>
    <w:rsid w:val="005A0966"/>
    <w:rsid w:val="005A11B7"/>
    <w:rsid w:val="005A260B"/>
    <w:rsid w:val="005A4A1B"/>
    <w:rsid w:val="005A7830"/>
    <w:rsid w:val="005A7971"/>
    <w:rsid w:val="005A7FCE"/>
    <w:rsid w:val="005B0F3F"/>
    <w:rsid w:val="005B1FEF"/>
    <w:rsid w:val="005B3769"/>
    <w:rsid w:val="005B3A45"/>
    <w:rsid w:val="005B4903"/>
    <w:rsid w:val="005B51CE"/>
    <w:rsid w:val="005B5885"/>
    <w:rsid w:val="005B5CD7"/>
    <w:rsid w:val="005B6A77"/>
    <w:rsid w:val="005B6CF6"/>
    <w:rsid w:val="005B7422"/>
    <w:rsid w:val="005C22FA"/>
    <w:rsid w:val="005C29B8"/>
    <w:rsid w:val="005C5F21"/>
    <w:rsid w:val="005C7156"/>
    <w:rsid w:val="005D0C75"/>
    <w:rsid w:val="005D20E4"/>
    <w:rsid w:val="005D35D1"/>
    <w:rsid w:val="005D4171"/>
    <w:rsid w:val="005D6A95"/>
    <w:rsid w:val="005D6B2C"/>
    <w:rsid w:val="005D6D9C"/>
    <w:rsid w:val="005D7F0B"/>
    <w:rsid w:val="005E2335"/>
    <w:rsid w:val="005E34CA"/>
    <w:rsid w:val="005E3C18"/>
    <w:rsid w:val="005E44E6"/>
    <w:rsid w:val="005E7881"/>
    <w:rsid w:val="005E78E0"/>
    <w:rsid w:val="005F0D9C"/>
    <w:rsid w:val="005F284E"/>
    <w:rsid w:val="006002B2"/>
    <w:rsid w:val="006015CE"/>
    <w:rsid w:val="00604784"/>
    <w:rsid w:val="00606419"/>
    <w:rsid w:val="00607D29"/>
    <w:rsid w:val="00612952"/>
    <w:rsid w:val="00614CC1"/>
    <w:rsid w:val="00615A9D"/>
    <w:rsid w:val="00615EAC"/>
    <w:rsid w:val="006162BE"/>
    <w:rsid w:val="00616321"/>
    <w:rsid w:val="00616BBB"/>
    <w:rsid w:val="00617387"/>
    <w:rsid w:val="006252D8"/>
    <w:rsid w:val="006259BC"/>
    <w:rsid w:val="0062636B"/>
    <w:rsid w:val="00631555"/>
    <w:rsid w:val="00632182"/>
    <w:rsid w:val="00632355"/>
    <w:rsid w:val="00632AE0"/>
    <w:rsid w:val="00633C17"/>
    <w:rsid w:val="006341A4"/>
    <w:rsid w:val="00636E3E"/>
    <w:rsid w:val="006379F7"/>
    <w:rsid w:val="00637E4D"/>
    <w:rsid w:val="00640620"/>
    <w:rsid w:val="00641A1F"/>
    <w:rsid w:val="00645904"/>
    <w:rsid w:val="00651ACB"/>
    <w:rsid w:val="00651C47"/>
    <w:rsid w:val="00652AB2"/>
    <w:rsid w:val="00654EC0"/>
    <w:rsid w:val="00655216"/>
    <w:rsid w:val="0065525B"/>
    <w:rsid w:val="00655D4F"/>
    <w:rsid w:val="00661000"/>
    <w:rsid w:val="006640E5"/>
    <w:rsid w:val="006646F1"/>
    <w:rsid w:val="00664929"/>
    <w:rsid w:val="00664F62"/>
    <w:rsid w:val="006655E1"/>
    <w:rsid w:val="00665AED"/>
    <w:rsid w:val="00672060"/>
    <w:rsid w:val="00672205"/>
    <w:rsid w:val="00672BFD"/>
    <w:rsid w:val="006770F4"/>
    <w:rsid w:val="00677A84"/>
    <w:rsid w:val="0068026D"/>
    <w:rsid w:val="00680A27"/>
    <w:rsid w:val="006816A4"/>
    <w:rsid w:val="006819B8"/>
    <w:rsid w:val="006840A6"/>
    <w:rsid w:val="006847DF"/>
    <w:rsid w:val="006850CD"/>
    <w:rsid w:val="00685AAB"/>
    <w:rsid w:val="0069053A"/>
    <w:rsid w:val="006915C4"/>
    <w:rsid w:val="00694679"/>
    <w:rsid w:val="006A07AA"/>
    <w:rsid w:val="006A25E5"/>
    <w:rsid w:val="006A2B46"/>
    <w:rsid w:val="006A336D"/>
    <w:rsid w:val="006A37B9"/>
    <w:rsid w:val="006A7F87"/>
    <w:rsid w:val="006B2672"/>
    <w:rsid w:val="006B54BF"/>
    <w:rsid w:val="006B5F44"/>
    <w:rsid w:val="006B5F90"/>
    <w:rsid w:val="006B62E4"/>
    <w:rsid w:val="006C1A0C"/>
    <w:rsid w:val="006C1BBA"/>
    <w:rsid w:val="006C2079"/>
    <w:rsid w:val="006C394D"/>
    <w:rsid w:val="006C5A62"/>
    <w:rsid w:val="006C5D68"/>
    <w:rsid w:val="006C6976"/>
    <w:rsid w:val="006C6DD0"/>
    <w:rsid w:val="006D04EA"/>
    <w:rsid w:val="006D16C4"/>
    <w:rsid w:val="006D296C"/>
    <w:rsid w:val="006D3E96"/>
    <w:rsid w:val="006D4515"/>
    <w:rsid w:val="006D4AC2"/>
    <w:rsid w:val="006D4BB1"/>
    <w:rsid w:val="006D6593"/>
    <w:rsid w:val="006F03A8"/>
    <w:rsid w:val="006F2ACA"/>
    <w:rsid w:val="006F2ADC"/>
    <w:rsid w:val="006F2BFE"/>
    <w:rsid w:val="006F31E9"/>
    <w:rsid w:val="006F6284"/>
    <w:rsid w:val="006F6CED"/>
    <w:rsid w:val="007002C5"/>
    <w:rsid w:val="00700529"/>
    <w:rsid w:val="00704387"/>
    <w:rsid w:val="00707669"/>
    <w:rsid w:val="00711CBA"/>
    <w:rsid w:val="00711FB5"/>
    <w:rsid w:val="00712A01"/>
    <w:rsid w:val="00714F58"/>
    <w:rsid w:val="00716617"/>
    <w:rsid w:val="00717D16"/>
    <w:rsid w:val="00717E36"/>
    <w:rsid w:val="00722FBF"/>
    <w:rsid w:val="00722FC2"/>
    <w:rsid w:val="00725949"/>
    <w:rsid w:val="00727FA2"/>
    <w:rsid w:val="007322D9"/>
    <w:rsid w:val="00732BC0"/>
    <w:rsid w:val="00734F81"/>
    <w:rsid w:val="0073720F"/>
    <w:rsid w:val="00737796"/>
    <w:rsid w:val="0074165C"/>
    <w:rsid w:val="00741CC7"/>
    <w:rsid w:val="007432CA"/>
    <w:rsid w:val="007434CB"/>
    <w:rsid w:val="007439EB"/>
    <w:rsid w:val="00743CB4"/>
    <w:rsid w:val="00743F0A"/>
    <w:rsid w:val="007444E8"/>
    <w:rsid w:val="0074548E"/>
    <w:rsid w:val="00745773"/>
    <w:rsid w:val="0074594F"/>
    <w:rsid w:val="00746736"/>
    <w:rsid w:val="00746800"/>
    <w:rsid w:val="00747B4C"/>
    <w:rsid w:val="007501A8"/>
    <w:rsid w:val="00750EE1"/>
    <w:rsid w:val="00752B4D"/>
    <w:rsid w:val="00755402"/>
    <w:rsid w:val="00756B26"/>
    <w:rsid w:val="00756EDF"/>
    <w:rsid w:val="007602DF"/>
    <w:rsid w:val="007609A2"/>
    <w:rsid w:val="00765714"/>
    <w:rsid w:val="00765C43"/>
    <w:rsid w:val="00765EFB"/>
    <w:rsid w:val="007668BF"/>
    <w:rsid w:val="007671CA"/>
    <w:rsid w:val="00767C61"/>
    <w:rsid w:val="0077008A"/>
    <w:rsid w:val="007718B0"/>
    <w:rsid w:val="00773C1F"/>
    <w:rsid w:val="00774DA4"/>
    <w:rsid w:val="00776599"/>
    <w:rsid w:val="0078114B"/>
    <w:rsid w:val="00781DD2"/>
    <w:rsid w:val="00782FFA"/>
    <w:rsid w:val="00783ECF"/>
    <w:rsid w:val="0078413A"/>
    <w:rsid w:val="00792048"/>
    <w:rsid w:val="007959E8"/>
    <w:rsid w:val="00795E9C"/>
    <w:rsid w:val="007A0521"/>
    <w:rsid w:val="007A1F90"/>
    <w:rsid w:val="007A2E12"/>
    <w:rsid w:val="007A3475"/>
    <w:rsid w:val="007A41C8"/>
    <w:rsid w:val="007A54CE"/>
    <w:rsid w:val="007A7FFA"/>
    <w:rsid w:val="007B04EB"/>
    <w:rsid w:val="007B0D4F"/>
    <w:rsid w:val="007B4754"/>
    <w:rsid w:val="007B4ECE"/>
    <w:rsid w:val="007B5A3D"/>
    <w:rsid w:val="007B5B95"/>
    <w:rsid w:val="007B68EA"/>
    <w:rsid w:val="007B6B06"/>
    <w:rsid w:val="007C1930"/>
    <w:rsid w:val="007C19E8"/>
    <w:rsid w:val="007C22BA"/>
    <w:rsid w:val="007C2D89"/>
    <w:rsid w:val="007C4593"/>
    <w:rsid w:val="007C5309"/>
    <w:rsid w:val="007C6069"/>
    <w:rsid w:val="007C7A39"/>
    <w:rsid w:val="007D06C4"/>
    <w:rsid w:val="007D1352"/>
    <w:rsid w:val="007D2508"/>
    <w:rsid w:val="007D26A1"/>
    <w:rsid w:val="007D346A"/>
    <w:rsid w:val="007D5AF2"/>
    <w:rsid w:val="007D6518"/>
    <w:rsid w:val="007D76BD"/>
    <w:rsid w:val="007E0BF1"/>
    <w:rsid w:val="007E29FC"/>
    <w:rsid w:val="007E7E99"/>
    <w:rsid w:val="007F0ED8"/>
    <w:rsid w:val="007F0F63"/>
    <w:rsid w:val="007F384F"/>
    <w:rsid w:val="007F75CE"/>
    <w:rsid w:val="007F7B84"/>
    <w:rsid w:val="008013A4"/>
    <w:rsid w:val="008026AC"/>
    <w:rsid w:val="008027CE"/>
    <w:rsid w:val="00802F42"/>
    <w:rsid w:val="00804383"/>
    <w:rsid w:val="00804534"/>
    <w:rsid w:val="00804BB7"/>
    <w:rsid w:val="00805770"/>
    <w:rsid w:val="00810257"/>
    <w:rsid w:val="008104F5"/>
    <w:rsid w:val="00811072"/>
    <w:rsid w:val="00811369"/>
    <w:rsid w:val="00814E50"/>
    <w:rsid w:val="00815419"/>
    <w:rsid w:val="008163C8"/>
    <w:rsid w:val="00817325"/>
    <w:rsid w:val="008209E6"/>
    <w:rsid w:val="00823303"/>
    <w:rsid w:val="008233B2"/>
    <w:rsid w:val="00823A9F"/>
    <w:rsid w:val="00823C85"/>
    <w:rsid w:val="00825138"/>
    <w:rsid w:val="008269DD"/>
    <w:rsid w:val="00830621"/>
    <w:rsid w:val="0083147C"/>
    <w:rsid w:val="00832B15"/>
    <w:rsid w:val="0083348C"/>
    <w:rsid w:val="00833CCD"/>
    <w:rsid w:val="00836C6B"/>
    <w:rsid w:val="008373D3"/>
    <w:rsid w:val="00840617"/>
    <w:rsid w:val="00842A47"/>
    <w:rsid w:val="00843BAE"/>
    <w:rsid w:val="00843C13"/>
    <w:rsid w:val="00844CA4"/>
    <w:rsid w:val="008454F8"/>
    <w:rsid w:val="008507E1"/>
    <w:rsid w:val="00850CA7"/>
    <w:rsid w:val="0085173A"/>
    <w:rsid w:val="0085182B"/>
    <w:rsid w:val="008576BE"/>
    <w:rsid w:val="008603CE"/>
    <w:rsid w:val="008620FC"/>
    <w:rsid w:val="008627A5"/>
    <w:rsid w:val="00863E05"/>
    <w:rsid w:val="00865617"/>
    <w:rsid w:val="00865641"/>
    <w:rsid w:val="00865A8B"/>
    <w:rsid w:val="00865ACA"/>
    <w:rsid w:val="00865D28"/>
    <w:rsid w:val="00865F85"/>
    <w:rsid w:val="00867C10"/>
    <w:rsid w:val="00870439"/>
    <w:rsid w:val="00870549"/>
    <w:rsid w:val="0087067E"/>
    <w:rsid w:val="00870D32"/>
    <w:rsid w:val="00870DA1"/>
    <w:rsid w:val="00873000"/>
    <w:rsid w:val="00881D7E"/>
    <w:rsid w:val="00883F93"/>
    <w:rsid w:val="00884DB3"/>
    <w:rsid w:val="00885A9D"/>
    <w:rsid w:val="008864F6"/>
    <w:rsid w:val="0089049D"/>
    <w:rsid w:val="008928C9"/>
    <w:rsid w:val="00892C59"/>
    <w:rsid w:val="008938DC"/>
    <w:rsid w:val="00893FD1"/>
    <w:rsid w:val="00894836"/>
    <w:rsid w:val="00895172"/>
    <w:rsid w:val="00895680"/>
    <w:rsid w:val="00896DFF"/>
    <w:rsid w:val="00897592"/>
    <w:rsid w:val="0089762C"/>
    <w:rsid w:val="008979C4"/>
    <w:rsid w:val="008A1893"/>
    <w:rsid w:val="008A326F"/>
    <w:rsid w:val="008A4846"/>
    <w:rsid w:val="008A48AB"/>
    <w:rsid w:val="008A4FAD"/>
    <w:rsid w:val="008A53EF"/>
    <w:rsid w:val="008A6F5B"/>
    <w:rsid w:val="008A769A"/>
    <w:rsid w:val="008B0BF4"/>
    <w:rsid w:val="008B0C9C"/>
    <w:rsid w:val="008B166D"/>
    <w:rsid w:val="008B17F4"/>
    <w:rsid w:val="008B3615"/>
    <w:rsid w:val="008B4AC4"/>
    <w:rsid w:val="008B50C8"/>
    <w:rsid w:val="008B5281"/>
    <w:rsid w:val="008B7E05"/>
    <w:rsid w:val="008C1797"/>
    <w:rsid w:val="008C219C"/>
    <w:rsid w:val="008C475E"/>
    <w:rsid w:val="008C619A"/>
    <w:rsid w:val="008C6722"/>
    <w:rsid w:val="008C7D45"/>
    <w:rsid w:val="008D03FF"/>
    <w:rsid w:val="008D09C7"/>
    <w:rsid w:val="008D0CE8"/>
    <w:rsid w:val="008D0F0F"/>
    <w:rsid w:val="008D2D1D"/>
    <w:rsid w:val="008D453D"/>
    <w:rsid w:val="008D53AD"/>
    <w:rsid w:val="008D562B"/>
    <w:rsid w:val="008D5733"/>
    <w:rsid w:val="008D622B"/>
    <w:rsid w:val="008D666C"/>
    <w:rsid w:val="008D7B54"/>
    <w:rsid w:val="008E0C9B"/>
    <w:rsid w:val="008E0C9D"/>
    <w:rsid w:val="008E1648"/>
    <w:rsid w:val="008E1B3E"/>
    <w:rsid w:val="008E2319"/>
    <w:rsid w:val="008E4BB6"/>
    <w:rsid w:val="008E5518"/>
    <w:rsid w:val="008E6A84"/>
    <w:rsid w:val="008E6CAF"/>
    <w:rsid w:val="008F0835"/>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1673D"/>
    <w:rsid w:val="00920878"/>
    <w:rsid w:val="009210E6"/>
    <w:rsid w:val="0092188B"/>
    <w:rsid w:val="0092458B"/>
    <w:rsid w:val="009245F5"/>
    <w:rsid w:val="009249EC"/>
    <w:rsid w:val="009273B3"/>
    <w:rsid w:val="009305B5"/>
    <w:rsid w:val="00931C17"/>
    <w:rsid w:val="00934772"/>
    <w:rsid w:val="00934C12"/>
    <w:rsid w:val="0093647F"/>
    <w:rsid w:val="00941D3F"/>
    <w:rsid w:val="0094204D"/>
    <w:rsid w:val="009429D5"/>
    <w:rsid w:val="00942BF1"/>
    <w:rsid w:val="00945180"/>
    <w:rsid w:val="00945428"/>
    <w:rsid w:val="0094607B"/>
    <w:rsid w:val="00953604"/>
    <w:rsid w:val="009610DC"/>
    <w:rsid w:val="009612B7"/>
    <w:rsid w:val="0096134A"/>
    <w:rsid w:val="00961490"/>
    <w:rsid w:val="009619B2"/>
    <w:rsid w:val="0096381A"/>
    <w:rsid w:val="00965E04"/>
    <w:rsid w:val="00965E5C"/>
    <w:rsid w:val="009674AD"/>
    <w:rsid w:val="0097094E"/>
    <w:rsid w:val="00970CDC"/>
    <w:rsid w:val="00972426"/>
    <w:rsid w:val="00973152"/>
    <w:rsid w:val="00975A1A"/>
    <w:rsid w:val="00977010"/>
    <w:rsid w:val="009771F3"/>
    <w:rsid w:val="00977D02"/>
    <w:rsid w:val="009809BB"/>
    <w:rsid w:val="009809DB"/>
    <w:rsid w:val="00982D22"/>
    <w:rsid w:val="0098364B"/>
    <w:rsid w:val="00983BF9"/>
    <w:rsid w:val="00984074"/>
    <w:rsid w:val="009911AF"/>
    <w:rsid w:val="00991875"/>
    <w:rsid w:val="00991F92"/>
    <w:rsid w:val="00992985"/>
    <w:rsid w:val="00993889"/>
    <w:rsid w:val="0099551B"/>
    <w:rsid w:val="00997BF1"/>
    <w:rsid w:val="009A089C"/>
    <w:rsid w:val="009A118E"/>
    <w:rsid w:val="009A1ED1"/>
    <w:rsid w:val="009A21CD"/>
    <w:rsid w:val="009A278C"/>
    <w:rsid w:val="009A283F"/>
    <w:rsid w:val="009A2BC2"/>
    <w:rsid w:val="009A3EEC"/>
    <w:rsid w:val="009A42C1"/>
    <w:rsid w:val="009A45B0"/>
    <w:rsid w:val="009A5429"/>
    <w:rsid w:val="009A72AD"/>
    <w:rsid w:val="009B09E0"/>
    <w:rsid w:val="009B0BC5"/>
    <w:rsid w:val="009B1247"/>
    <w:rsid w:val="009B1B38"/>
    <w:rsid w:val="009B6029"/>
    <w:rsid w:val="009B6971"/>
    <w:rsid w:val="009B7E1F"/>
    <w:rsid w:val="009C27F1"/>
    <w:rsid w:val="009C3152"/>
    <w:rsid w:val="009C4143"/>
    <w:rsid w:val="009C4936"/>
    <w:rsid w:val="009C4CFA"/>
    <w:rsid w:val="009C5070"/>
    <w:rsid w:val="009C77A5"/>
    <w:rsid w:val="009D112C"/>
    <w:rsid w:val="009D47FA"/>
    <w:rsid w:val="009D507E"/>
    <w:rsid w:val="009D50D2"/>
    <w:rsid w:val="009D6BCA"/>
    <w:rsid w:val="009D71A4"/>
    <w:rsid w:val="009D7333"/>
    <w:rsid w:val="009E0F62"/>
    <w:rsid w:val="009E4A58"/>
    <w:rsid w:val="009E550D"/>
    <w:rsid w:val="009E5A2D"/>
    <w:rsid w:val="009E5AB2"/>
    <w:rsid w:val="009E6219"/>
    <w:rsid w:val="009E687D"/>
    <w:rsid w:val="009F03B3"/>
    <w:rsid w:val="009F07A5"/>
    <w:rsid w:val="009F23ED"/>
    <w:rsid w:val="009F354D"/>
    <w:rsid w:val="009F51E8"/>
    <w:rsid w:val="00A001A3"/>
    <w:rsid w:val="00A005CE"/>
    <w:rsid w:val="00A01757"/>
    <w:rsid w:val="00A028C0"/>
    <w:rsid w:val="00A02BAE"/>
    <w:rsid w:val="00A02DA9"/>
    <w:rsid w:val="00A040D4"/>
    <w:rsid w:val="00A06A6B"/>
    <w:rsid w:val="00A07E47"/>
    <w:rsid w:val="00A1127A"/>
    <w:rsid w:val="00A11DDF"/>
    <w:rsid w:val="00A1211E"/>
    <w:rsid w:val="00A129D0"/>
    <w:rsid w:val="00A12C33"/>
    <w:rsid w:val="00A138BA"/>
    <w:rsid w:val="00A138DD"/>
    <w:rsid w:val="00A14447"/>
    <w:rsid w:val="00A14C8E"/>
    <w:rsid w:val="00A153D9"/>
    <w:rsid w:val="00A15F09"/>
    <w:rsid w:val="00A169B6"/>
    <w:rsid w:val="00A1708B"/>
    <w:rsid w:val="00A2271D"/>
    <w:rsid w:val="00A236E5"/>
    <w:rsid w:val="00A237D5"/>
    <w:rsid w:val="00A267EB"/>
    <w:rsid w:val="00A27BAC"/>
    <w:rsid w:val="00A30EFC"/>
    <w:rsid w:val="00A31984"/>
    <w:rsid w:val="00A32D73"/>
    <w:rsid w:val="00A32ECE"/>
    <w:rsid w:val="00A3367B"/>
    <w:rsid w:val="00A3597D"/>
    <w:rsid w:val="00A3606E"/>
    <w:rsid w:val="00A40091"/>
    <w:rsid w:val="00A4030F"/>
    <w:rsid w:val="00A40EA7"/>
    <w:rsid w:val="00A41C79"/>
    <w:rsid w:val="00A41CB5"/>
    <w:rsid w:val="00A42CDF"/>
    <w:rsid w:val="00A4452E"/>
    <w:rsid w:val="00A4472C"/>
    <w:rsid w:val="00A44E69"/>
    <w:rsid w:val="00A4661E"/>
    <w:rsid w:val="00A55BD6"/>
    <w:rsid w:val="00A55D50"/>
    <w:rsid w:val="00A57142"/>
    <w:rsid w:val="00A614DC"/>
    <w:rsid w:val="00A63771"/>
    <w:rsid w:val="00A648CD"/>
    <w:rsid w:val="00A6537A"/>
    <w:rsid w:val="00A673BF"/>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2A24"/>
    <w:rsid w:val="00AA4286"/>
    <w:rsid w:val="00AA42C0"/>
    <w:rsid w:val="00AA456B"/>
    <w:rsid w:val="00AA57F5"/>
    <w:rsid w:val="00AA5A84"/>
    <w:rsid w:val="00AA5E5E"/>
    <w:rsid w:val="00AA672E"/>
    <w:rsid w:val="00AA6EC9"/>
    <w:rsid w:val="00AB32AB"/>
    <w:rsid w:val="00AB4BC8"/>
    <w:rsid w:val="00AB6309"/>
    <w:rsid w:val="00AB6C5F"/>
    <w:rsid w:val="00AB7129"/>
    <w:rsid w:val="00AB7CD9"/>
    <w:rsid w:val="00AC23EB"/>
    <w:rsid w:val="00AC27A6"/>
    <w:rsid w:val="00AC30F7"/>
    <w:rsid w:val="00AC3A5A"/>
    <w:rsid w:val="00AC4D95"/>
    <w:rsid w:val="00AC5DF4"/>
    <w:rsid w:val="00AD0AEF"/>
    <w:rsid w:val="00AD11B7"/>
    <w:rsid w:val="00AD16B4"/>
    <w:rsid w:val="00AD19D0"/>
    <w:rsid w:val="00AD1A94"/>
    <w:rsid w:val="00AD1C05"/>
    <w:rsid w:val="00AD2278"/>
    <w:rsid w:val="00AD3367"/>
    <w:rsid w:val="00AD4126"/>
    <w:rsid w:val="00AD421C"/>
    <w:rsid w:val="00AD44FA"/>
    <w:rsid w:val="00AE070A"/>
    <w:rsid w:val="00AE101C"/>
    <w:rsid w:val="00AE7673"/>
    <w:rsid w:val="00AF09B1"/>
    <w:rsid w:val="00AF0C18"/>
    <w:rsid w:val="00AF0F63"/>
    <w:rsid w:val="00AF47C5"/>
    <w:rsid w:val="00AF4DAB"/>
    <w:rsid w:val="00AF5398"/>
    <w:rsid w:val="00AF7625"/>
    <w:rsid w:val="00B049AF"/>
    <w:rsid w:val="00B07242"/>
    <w:rsid w:val="00B073F1"/>
    <w:rsid w:val="00B10534"/>
    <w:rsid w:val="00B113DB"/>
    <w:rsid w:val="00B11D8A"/>
    <w:rsid w:val="00B12687"/>
    <w:rsid w:val="00B12981"/>
    <w:rsid w:val="00B13881"/>
    <w:rsid w:val="00B147DD"/>
    <w:rsid w:val="00B156FD"/>
    <w:rsid w:val="00B217BF"/>
    <w:rsid w:val="00B21F61"/>
    <w:rsid w:val="00B23045"/>
    <w:rsid w:val="00B261F1"/>
    <w:rsid w:val="00B265BC"/>
    <w:rsid w:val="00B269C8"/>
    <w:rsid w:val="00B31FB1"/>
    <w:rsid w:val="00B3369C"/>
    <w:rsid w:val="00B3375F"/>
    <w:rsid w:val="00B33952"/>
    <w:rsid w:val="00B33C5E"/>
    <w:rsid w:val="00B34107"/>
    <w:rsid w:val="00B342F4"/>
    <w:rsid w:val="00B34369"/>
    <w:rsid w:val="00B34DC2"/>
    <w:rsid w:val="00B378E5"/>
    <w:rsid w:val="00B4346D"/>
    <w:rsid w:val="00B440F4"/>
    <w:rsid w:val="00B447A5"/>
    <w:rsid w:val="00B45570"/>
    <w:rsid w:val="00B45F15"/>
    <w:rsid w:val="00B4654C"/>
    <w:rsid w:val="00B47293"/>
    <w:rsid w:val="00B5019D"/>
    <w:rsid w:val="00B5040B"/>
    <w:rsid w:val="00B52120"/>
    <w:rsid w:val="00B54ABC"/>
    <w:rsid w:val="00B56180"/>
    <w:rsid w:val="00B56FBE"/>
    <w:rsid w:val="00B62B58"/>
    <w:rsid w:val="00B65149"/>
    <w:rsid w:val="00B66567"/>
    <w:rsid w:val="00B66F52"/>
    <w:rsid w:val="00B66FE5"/>
    <w:rsid w:val="00B70413"/>
    <w:rsid w:val="00B71AA5"/>
    <w:rsid w:val="00B72880"/>
    <w:rsid w:val="00B758BF"/>
    <w:rsid w:val="00B827A6"/>
    <w:rsid w:val="00B82E9E"/>
    <w:rsid w:val="00B831CE"/>
    <w:rsid w:val="00B86677"/>
    <w:rsid w:val="00B86AAC"/>
    <w:rsid w:val="00B87131"/>
    <w:rsid w:val="00B87FCA"/>
    <w:rsid w:val="00B91566"/>
    <w:rsid w:val="00B92B63"/>
    <w:rsid w:val="00B939B1"/>
    <w:rsid w:val="00B96D40"/>
    <w:rsid w:val="00B97386"/>
    <w:rsid w:val="00B9757F"/>
    <w:rsid w:val="00BA263B"/>
    <w:rsid w:val="00BA42B2"/>
    <w:rsid w:val="00BA58D4"/>
    <w:rsid w:val="00BA5B9E"/>
    <w:rsid w:val="00BA7C9A"/>
    <w:rsid w:val="00BB227E"/>
    <w:rsid w:val="00BB2A1F"/>
    <w:rsid w:val="00BB3441"/>
    <w:rsid w:val="00BB3F6F"/>
    <w:rsid w:val="00BB5F8F"/>
    <w:rsid w:val="00BB657A"/>
    <w:rsid w:val="00BB7B2F"/>
    <w:rsid w:val="00BC1A4E"/>
    <w:rsid w:val="00BC5DC7"/>
    <w:rsid w:val="00BC6B8B"/>
    <w:rsid w:val="00BC73D8"/>
    <w:rsid w:val="00BD0BE1"/>
    <w:rsid w:val="00BD52D7"/>
    <w:rsid w:val="00BD5AD2"/>
    <w:rsid w:val="00BD6082"/>
    <w:rsid w:val="00BE0053"/>
    <w:rsid w:val="00BE083E"/>
    <w:rsid w:val="00BE22F3"/>
    <w:rsid w:val="00BE2FE2"/>
    <w:rsid w:val="00BE5546"/>
    <w:rsid w:val="00BE5B52"/>
    <w:rsid w:val="00BE72F4"/>
    <w:rsid w:val="00BE7B8D"/>
    <w:rsid w:val="00BF0993"/>
    <w:rsid w:val="00BF0D52"/>
    <w:rsid w:val="00BF0D6B"/>
    <w:rsid w:val="00BF10A9"/>
    <w:rsid w:val="00BF1703"/>
    <w:rsid w:val="00BF1A96"/>
    <w:rsid w:val="00BF231C"/>
    <w:rsid w:val="00BF51E5"/>
    <w:rsid w:val="00BF6532"/>
    <w:rsid w:val="00BF74A6"/>
    <w:rsid w:val="00C013AD"/>
    <w:rsid w:val="00C01EE9"/>
    <w:rsid w:val="00C03CEF"/>
    <w:rsid w:val="00C04904"/>
    <w:rsid w:val="00C056B3"/>
    <w:rsid w:val="00C078FF"/>
    <w:rsid w:val="00C103E5"/>
    <w:rsid w:val="00C10C75"/>
    <w:rsid w:val="00C13319"/>
    <w:rsid w:val="00C13EE9"/>
    <w:rsid w:val="00C14D87"/>
    <w:rsid w:val="00C21540"/>
    <w:rsid w:val="00C21906"/>
    <w:rsid w:val="00C21BFA"/>
    <w:rsid w:val="00C22BDC"/>
    <w:rsid w:val="00C24C8D"/>
    <w:rsid w:val="00C25FE2"/>
    <w:rsid w:val="00C26B53"/>
    <w:rsid w:val="00C279B2"/>
    <w:rsid w:val="00C33E50"/>
    <w:rsid w:val="00C34C20"/>
    <w:rsid w:val="00C35A3E"/>
    <w:rsid w:val="00C42130"/>
    <w:rsid w:val="00C423A4"/>
    <w:rsid w:val="00C44BF5"/>
    <w:rsid w:val="00C50D92"/>
    <w:rsid w:val="00C524E2"/>
    <w:rsid w:val="00C55232"/>
    <w:rsid w:val="00C553A4"/>
    <w:rsid w:val="00C55A06"/>
    <w:rsid w:val="00C55D03"/>
    <w:rsid w:val="00C601BC"/>
    <w:rsid w:val="00C6329F"/>
    <w:rsid w:val="00C63340"/>
    <w:rsid w:val="00C643F9"/>
    <w:rsid w:val="00C64E95"/>
    <w:rsid w:val="00C71372"/>
    <w:rsid w:val="00C72410"/>
    <w:rsid w:val="00C7287F"/>
    <w:rsid w:val="00C72F0E"/>
    <w:rsid w:val="00C74F3A"/>
    <w:rsid w:val="00C75B88"/>
    <w:rsid w:val="00C80CB8"/>
    <w:rsid w:val="00C819F8"/>
    <w:rsid w:val="00C8248C"/>
    <w:rsid w:val="00C8426F"/>
    <w:rsid w:val="00C84E33"/>
    <w:rsid w:val="00C86D6F"/>
    <w:rsid w:val="00C874C4"/>
    <w:rsid w:val="00C905FC"/>
    <w:rsid w:val="00C92D03"/>
    <w:rsid w:val="00C9319C"/>
    <w:rsid w:val="00C9435D"/>
    <w:rsid w:val="00C9517F"/>
    <w:rsid w:val="00C96741"/>
    <w:rsid w:val="00C96D94"/>
    <w:rsid w:val="00CA2D1B"/>
    <w:rsid w:val="00CA51E7"/>
    <w:rsid w:val="00CA662A"/>
    <w:rsid w:val="00CA7AFD"/>
    <w:rsid w:val="00CA7C3C"/>
    <w:rsid w:val="00CB0189"/>
    <w:rsid w:val="00CB0BA2"/>
    <w:rsid w:val="00CB1A42"/>
    <w:rsid w:val="00CB1B0C"/>
    <w:rsid w:val="00CB2C0B"/>
    <w:rsid w:val="00CB4115"/>
    <w:rsid w:val="00CB517D"/>
    <w:rsid w:val="00CB5FD6"/>
    <w:rsid w:val="00CC038D"/>
    <w:rsid w:val="00CC39FF"/>
    <w:rsid w:val="00CC3C2F"/>
    <w:rsid w:val="00CC4AC8"/>
    <w:rsid w:val="00CC5233"/>
    <w:rsid w:val="00CC5DE6"/>
    <w:rsid w:val="00CC5E23"/>
    <w:rsid w:val="00CC6E4E"/>
    <w:rsid w:val="00CC6FE8"/>
    <w:rsid w:val="00CC7202"/>
    <w:rsid w:val="00CD11C3"/>
    <w:rsid w:val="00CD2808"/>
    <w:rsid w:val="00CD28BF"/>
    <w:rsid w:val="00CD4092"/>
    <w:rsid w:val="00CD4A20"/>
    <w:rsid w:val="00CD50A1"/>
    <w:rsid w:val="00CD519E"/>
    <w:rsid w:val="00CE077B"/>
    <w:rsid w:val="00CE0C4F"/>
    <w:rsid w:val="00CE2112"/>
    <w:rsid w:val="00CE2814"/>
    <w:rsid w:val="00CE30EA"/>
    <w:rsid w:val="00CE7358"/>
    <w:rsid w:val="00CF048A"/>
    <w:rsid w:val="00CF0933"/>
    <w:rsid w:val="00CF155A"/>
    <w:rsid w:val="00CF2947"/>
    <w:rsid w:val="00CF686F"/>
    <w:rsid w:val="00CF6E60"/>
    <w:rsid w:val="00CF7BCA"/>
    <w:rsid w:val="00D008FD"/>
    <w:rsid w:val="00D02456"/>
    <w:rsid w:val="00D0321C"/>
    <w:rsid w:val="00D035EC"/>
    <w:rsid w:val="00D06AB1"/>
    <w:rsid w:val="00D072ED"/>
    <w:rsid w:val="00D07A16"/>
    <w:rsid w:val="00D1067E"/>
    <w:rsid w:val="00D10F50"/>
    <w:rsid w:val="00D11272"/>
    <w:rsid w:val="00D11967"/>
    <w:rsid w:val="00D126F5"/>
    <w:rsid w:val="00D1489E"/>
    <w:rsid w:val="00D20737"/>
    <w:rsid w:val="00D21E81"/>
    <w:rsid w:val="00D223DE"/>
    <w:rsid w:val="00D24B2A"/>
    <w:rsid w:val="00D25E37"/>
    <w:rsid w:val="00D2661A"/>
    <w:rsid w:val="00D27582"/>
    <w:rsid w:val="00D32719"/>
    <w:rsid w:val="00D33333"/>
    <w:rsid w:val="00D347FD"/>
    <w:rsid w:val="00D352A2"/>
    <w:rsid w:val="00D37002"/>
    <w:rsid w:val="00D40C44"/>
    <w:rsid w:val="00D412FE"/>
    <w:rsid w:val="00D4162B"/>
    <w:rsid w:val="00D4209C"/>
    <w:rsid w:val="00D4514F"/>
    <w:rsid w:val="00D451E2"/>
    <w:rsid w:val="00D4545E"/>
    <w:rsid w:val="00D45E89"/>
    <w:rsid w:val="00D45E8D"/>
    <w:rsid w:val="00D466AE"/>
    <w:rsid w:val="00D4734F"/>
    <w:rsid w:val="00D51BF3"/>
    <w:rsid w:val="00D564CD"/>
    <w:rsid w:val="00D61AD4"/>
    <w:rsid w:val="00D62354"/>
    <w:rsid w:val="00D63276"/>
    <w:rsid w:val="00D633FD"/>
    <w:rsid w:val="00D66846"/>
    <w:rsid w:val="00D675FB"/>
    <w:rsid w:val="00D71F25"/>
    <w:rsid w:val="00D72252"/>
    <w:rsid w:val="00D77031"/>
    <w:rsid w:val="00D83B12"/>
    <w:rsid w:val="00D84941"/>
    <w:rsid w:val="00D84FA1"/>
    <w:rsid w:val="00D851F0"/>
    <w:rsid w:val="00D86DB7"/>
    <w:rsid w:val="00D926D0"/>
    <w:rsid w:val="00D93030"/>
    <w:rsid w:val="00D9329A"/>
    <w:rsid w:val="00D950E1"/>
    <w:rsid w:val="00D952A6"/>
    <w:rsid w:val="00D958D6"/>
    <w:rsid w:val="00D97474"/>
    <w:rsid w:val="00D97F99"/>
    <w:rsid w:val="00DA1E08"/>
    <w:rsid w:val="00DA24F8"/>
    <w:rsid w:val="00DA28E8"/>
    <w:rsid w:val="00DA38D3"/>
    <w:rsid w:val="00DA3932"/>
    <w:rsid w:val="00DA64F8"/>
    <w:rsid w:val="00DA6C15"/>
    <w:rsid w:val="00DB1241"/>
    <w:rsid w:val="00DB1451"/>
    <w:rsid w:val="00DB38EE"/>
    <w:rsid w:val="00DB498B"/>
    <w:rsid w:val="00DB66CA"/>
    <w:rsid w:val="00DB6BCA"/>
    <w:rsid w:val="00DC0321"/>
    <w:rsid w:val="00DC0BFB"/>
    <w:rsid w:val="00DC2C23"/>
    <w:rsid w:val="00DC3067"/>
    <w:rsid w:val="00DC370B"/>
    <w:rsid w:val="00DC46D4"/>
    <w:rsid w:val="00DC5B90"/>
    <w:rsid w:val="00DC5F7D"/>
    <w:rsid w:val="00DC6796"/>
    <w:rsid w:val="00DD00FF"/>
    <w:rsid w:val="00DD0619"/>
    <w:rsid w:val="00DD07FB"/>
    <w:rsid w:val="00DD25C6"/>
    <w:rsid w:val="00DD4F44"/>
    <w:rsid w:val="00DD54B0"/>
    <w:rsid w:val="00DD57EE"/>
    <w:rsid w:val="00DD6BCC"/>
    <w:rsid w:val="00DD79B9"/>
    <w:rsid w:val="00DE0A4B"/>
    <w:rsid w:val="00DE151E"/>
    <w:rsid w:val="00DE2410"/>
    <w:rsid w:val="00DE2939"/>
    <w:rsid w:val="00DE4A0C"/>
    <w:rsid w:val="00DE51F0"/>
    <w:rsid w:val="00DE6E81"/>
    <w:rsid w:val="00DE703F"/>
    <w:rsid w:val="00DE7595"/>
    <w:rsid w:val="00DF1961"/>
    <w:rsid w:val="00DF3C4C"/>
    <w:rsid w:val="00DF44DE"/>
    <w:rsid w:val="00DF465A"/>
    <w:rsid w:val="00DF4C69"/>
    <w:rsid w:val="00DF5EA9"/>
    <w:rsid w:val="00E00E70"/>
    <w:rsid w:val="00E01138"/>
    <w:rsid w:val="00E02DFB"/>
    <w:rsid w:val="00E030F9"/>
    <w:rsid w:val="00E0311A"/>
    <w:rsid w:val="00E03138"/>
    <w:rsid w:val="00E06404"/>
    <w:rsid w:val="00E11A85"/>
    <w:rsid w:val="00E12495"/>
    <w:rsid w:val="00E154D6"/>
    <w:rsid w:val="00E15CCD"/>
    <w:rsid w:val="00E202EF"/>
    <w:rsid w:val="00E210B5"/>
    <w:rsid w:val="00E22899"/>
    <w:rsid w:val="00E2552F"/>
    <w:rsid w:val="00E3137A"/>
    <w:rsid w:val="00E32CCF"/>
    <w:rsid w:val="00E34A98"/>
    <w:rsid w:val="00E353D0"/>
    <w:rsid w:val="00E35D1E"/>
    <w:rsid w:val="00E364F9"/>
    <w:rsid w:val="00E365FA"/>
    <w:rsid w:val="00E40C94"/>
    <w:rsid w:val="00E426CC"/>
    <w:rsid w:val="00E44966"/>
    <w:rsid w:val="00E44A83"/>
    <w:rsid w:val="00E46910"/>
    <w:rsid w:val="00E502C1"/>
    <w:rsid w:val="00E502DD"/>
    <w:rsid w:val="00E50D3A"/>
    <w:rsid w:val="00E51387"/>
    <w:rsid w:val="00E51E68"/>
    <w:rsid w:val="00E52EFD"/>
    <w:rsid w:val="00E5348A"/>
    <w:rsid w:val="00E5408A"/>
    <w:rsid w:val="00E5486D"/>
    <w:rsid w:val="00E54E04"/>
    <w:rsid w:val="00E56800"/>
    <w:rsid w:val="00E60292"/>
    <w:rsid w:val="00E60CD7"/>
    <w:rsid w:val="00E618D7"/>
    <w:rsid w:val="00E62A37"/>
    <w:rsid w:val="00E62FF9"/>
    <w:rsid w:val="00E635D6"/>
    <w:rsid w:val="00E639BC"/>
    <w:rsid w:val="00E664CC"/>
    <w:rsid w:val="00E70388"/>
    <w:rsid w:val="00E70F92"/>
    <w:rsid w:val="00E716B4"/>
    <w:rsid w:val="00E74C54"/>
    <w:rsid w:val="00E77A03"/>
    <w:rsid w:val="00E822E8"/>
    <w:rsid w:val="00E82554"/>
    <w:rsid w:val="00E82606"/>
    <w:rsid w:val="00E846C8"/>
    <w:rsid w:val="00E84957"/>
    <w:rsid w:val="00E84A55"/>
    <w:rsid w:val="00E85BFF"/>
    <w:rsid w:val="00E90391"/>
    <w:rsid w:val="00E906C2"/>
    <w:rsid w:val="00E9311F"/>
    <w:rsid w:val="00E934D1"/>
    <w:rsid w:val="00E94627"/>
    <w:rsid w:val="00E94AF0"/>
    <w:rsid w:val="00E953BB"/>
    <w:rsid w:val="00E95D13"/>
    <w:rsid w:val="00E95DD3"/>
    <w:rsid w:val="00E969D5"/>
    <w:rsid w:val="00EA570D"/>
    <w:rsid w:val="00EA58D1"/>
    <w:rsid w:val="00EA61BC"/>
    <w:rsid w:val="00EA681A"/>
    <w:rsid w:val="00EA735B"/>
    <w:rsid w:val="00EB1E69"/>
    <w:rsid w:val="00EB2086"/>
    <w:rsid w:val="00EB30EE"/>
    <w:rsid w:val="00EB5E89"/>
    <w:rsid w:val="00EB5EDF"/>
    <w:rsid w:val="00EB60FE"/>
    <w:rsid w:val="00EB74DB"/>
    <w:rsid w:val="00EC3874"/>
    <w:rsid w:val="00EC5359"/>
    <w:rsid w:val="00EC562A"/>
    <w:rsid w:val="00ED067A"/>
    <w:rsid w:val="00ED2B50"/>
    <w:rsid w:val="00ED3AC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2493"/>
    <w:rsid w:val="00F1409D"/>
    <w:rsid w:val="00F14214"/>
    <w:rsid w:val="00F146BD"/>
    <w:rsid w:val="00F157A9"/>
    <w:rsid w:val="00F24B68"/>
    <w:rsid w:val="00F24CE6"/>
    <w:rsid w:val="00F25BB6"/>
    <w:rsid w:val="00F26B7E"/>
    <w:rsid w:val="00F27A3B"/>
    <w:rsid w:val="00F33817"/>
    <w:rsid w:val="00F35AB2"/>
    <w:rsid w:val="00F42070"/>
    <w:rsid w:val="00F420D5"/>
    <w:rsid w:val="00F428EF"/>
    <w:rsid w:val="00F43581"/>
    <w:rsid w:val="00F451EA"/>
    <w:rsid w:val="00F45447"/>
    <w:rsid w:val="00F456C6"/>
    <w:rsid w:val="00F4577B"/>
    <w:rsid w:val="00F46496"/>
    <w:rsid w:val="00F474D0"/>
    <w:rsid w:val="00F50179"/>
    <w:rsid w:val="00F52077"/>
    <w:rsid w:val="00F522B6"/>
    <w:rsid w:val="00F539C6"/>
    <w:rsid w:val="00F56511"/>
    <w:rsid w:val="00F57227"/>
    <w:rsid w:val="00F609F6"/>
    <w:rsid w:val="00F6194E"/>
    <w:rsid w:val="00F623AC"/>
    <w:rsid w:val="00F6412A"/>
    <w:rsid w:val="00F65893"/>
    <w:rsid w:val="00F658FD"/>
    <w:rsid w:val="00F66A4A"/>
    <w:rsid w:val="00F71E22"/>
    <w:rsid w:val="00F72142"/>
    <w:rsid w:val="00F72AE7"/>
    <w:rsid w:val="00F84934"/>
    <w:rsid w:val="00F84FD0"/>
    <w:rsid w:val="00F859A8"/>
    <w:rsid w:val="00F9108B"/>
    <w:rsid w:val="00F91349"/>
    <w:rsid w:val="00F92DBE"/>
    <w:rsid w:val="00F93A8A"/>
    <w:rsid w:val="00F95248"/>
    <w:rsid w:val="00F956A9"/>
    <w:rsid w:val="00F963ED"/>
    <w:rsid w:val="00F966CF"/>
    <w:rsid w:val="00F96CAE"/>
    <w:rsid w:val="00F97C99"/>
    <w:rsid w:val="00FA2A8E"/>
    <w:rsid w:val="00FA662D"/>
    <w:rsid w:val="00FA73B1"/>
    <w:rsid w:val="00FB0CB9"/>
    <w:rsid w:val="00FB3B0F"/>
    <w:rsid w:val="00FB45F1"/>
    <w:rsid w:val="00FB4A72"/>
    <w:rsid w:val="00FB54E8"/>
    <w:rsid w:val="00FB7054"/>
    <w:rsid w:val="00FC17B7"/>
    <w:rsid w:val="00FC2CB7"/>
    <w:rsid w:val="00FC4090"/>
    <w:rsid w:val="00FC4AD1"/>
    <w:rsid w:val="00FC55B4"/>
    <w:rsid w:val="00FD00E6"/>
    <w:rsid w:val="00FD09A1"/>
    <w:rsid w:val="00FD214E"/>
    <w:rsid w:val="00FD23D1"/>
    <w:rsid w:val="00FD2A7C"/>
    <w:rsid w:val="00FD59EB"/>
    <w:rsid w:val="00FD7299"/>
    <w:rsid w:val="00FE1FBE"/>
    <w:rsid w:val="00FE3901"/>
    <w:rsid w:val="00FE41CF"/>
    <w:rsid w:val="00FE4BCE"/>
    <w:rsid w:val="00FE54AE"/>
    <w:rsid w:val="00FE576A"/>
    <w:rsid w:val="00FE7E79"/>
    <w:rsid w:val="00FF3E7D"/>
    <w:rsid w:val="00FF5B99"/>
    <w:rsid w:val="00FF730C"/>
    <w:rsid w:val="00FF73F4"/>
    <w:rsid w:val="00FF7CE4"/>
    <w:rsid w:val="00FF7E39"/>
    <w:rsid w:val="024E68F9"/>
    <w:rsid w:val="02CA7252"/>
    <w:rsid w:val="032F5A9F"/>
    <w:rsid w:val="06913258"/>
    <w:rsid w:val="111C6C83"/>
    <w:rsid w:val="11B34E75"/>
    <w:rsid w:val="1B154000"/>
    <w:rsid w:val="22CA5DBB"/>
    <w:rsid w:val="283D4E2D"/>
    <w:rsid w:val="29FA5B4F"/>
    <w:rsid w:val="2EDA1D83"/>
    <w:rsid w:val="2F4D1B62"/>
    <w:rsid w:val="2FFB1468"/>
    <w:rsid w:val="326E63CA"/>
    <w:rsid w:val="3AB76A7B"/>
    <w:rsid w:val="406634D9"/>
    <w:rsid w:val="45B85B30"/>
    <w:rsid w:val="48721F30"/>
    <w:rsid w:val="5084337C"/>
    <w:rsid w:val="5E4B675A"/>
    <w:rsid w:val="6B424A11"/>
    <w:rsid w:val="6D924E32"/>
    <w:rsid w:val="6ECE6628"/>
    <w:rsid w:val="76833937"/>
    <w:rsid w:val="76BB00CA"/>
    <w:rsid w:val="78080D44"/>
    <w:rsid w:val="7A3A3E69"/>
    <w:rsid w:val="7CEB1D88"/>
    <w:rsid w:val="7DA32E3D"/>
    <w:rsid w:val="7F0601FC"/>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uiPriority w:val="1"/>
  </w:style>
  <w:style w:type="table" w:default="1" w:styleId="26">
    <w:name w:val="Normal Table"/>
    <w:semiHidden/>
    <w:unhideWhenUsed/>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rFonts w:ascii="Times New Roman" w:hAnsi="Times New Roman" w:eastAsia="宋体" w:cs="Times New Roman"/>
      <w:b/>
      <w:bCs/>
      <w:kern w:val="44"/>
      <w:sz w:val="44"/>
      <w:szCs w:val="44"/>
    </w:rPr>
  </w:style>
  <w:style w:type="character" w:customStyle="1" w:styleId="35">
    <w:name w:val="标题 2 字符"/>
    <w:link w:val="3"/>
    <w:qFormat/>
    <w:uiPriority w:val="0"/>
    <w:rPr>
      <w:rFonts w:ascii="Arial" w:hAnsi="Arial" w:eastAsia="黑体" w:cs="Times New Roman"/>
      <w:b/>
      <w:bCs/>
      <w:sz w:val="32"/>
      <w:szCs w:val="32"/>
    </w:rPr>
  </w:style>
  <w:style w:type="character" w:customStyle="1" w:styleId="36">
    <w:name w:val="标题 3 字符"/>
    <w:link w:val="4"/>
    <w:qFormat/>
    <w:uiPriority w:val="0"/>
    <w:rPr>
      <w:rFonts w:ascii="Times New Roman" w:hAnsi="Times New Roman" w:eastAsia="宋体" w:cs="Times New Roman"/>
      <w:b/>
      <w:bCs/>
      <w:sz w:val="32"/>
      <w:szCs w:val="32"/>
    </w:rPr>
  </w:style>
  <w:style w:type="character" w:customStyle="1" w:styleId="37">
    <w:name w:val="标题 4 字符"/>
    <w:link w:val="5"/>
    <w:autoRedefine/>
    <w:qFormat/>
    <w:uiPriority w:val="0"/>
    <w:rPr>
      <w:rFonts w:ascii="Arial" w:hAnsi="Arial" w:eastAsia="黑体" w:cs="Times New Roman"/>
      <w:b/>
      <w:bCs/>
      <w:sz w:val="28"/>
      <w:szCs w:val="28"/>
    </w:rPr>
  </w:style>
  <w:style w:type="character" w:customStyle="1" w:styleId="38">
    <w:name w:val="标题 5 字符"/>
    <w:link w:val="6"/>
    <w:qFormat/>
    <w:uiPriority w:val="0"/>
    <w:rPr>
      <w:rFonts w:ascii="Times New Roman" w:hAnsi="Times New Roman" w:eastAsia="宋体" w:cs="Times New Roman"/>
      <w:b/>
      <w:bCs/>
      <w:sz w:val="28"/>
      <w:szCs w:val="28"/>
    </w:rPr>
  </w:style>
  <w:style w:type="character" w:customStyle="1" w:styleId="39">
    <w:name w:val="标题 6 字符"/>
    <w:link w:val="7"/>
    <w:qFormat/>
    <w:uiPriority w:val="0"/>
    <w:rPr>
      <w:rFonts w:ascii="Arial" w:hAnsi="Arial" w:eastAsia="黑体" w:cs="Times New Roman"/>
      <w:b/>
      <w:bCs/>
      <w:sz w:val="24"/>
      <w:szCs w:val="24"/>
    </w:rPr>
  </w:style>
  <w:style w:type="character" w:customStyle="1" w:styleId="40">
    <w:name w:val="标题 7 字符"/>
    <w:link w:val="8"/>
    <w:autoRedefine/>
    <w:qFormat/>
    <w:uiPriority w:val="0"/>
    <w:rPr>
      <w:rFonts w:ascii="Times New Roman" w:hAnsi="Times New Roman" w:eastAsia="宋体" w:cs="Times New Roman"/>
      <w:b/>
      <w:bCs/>
      <w:sz w:val="24"/>
      <w:szCs w:val="24"/>
    </w:rPr>
  </w:style>
  <w:style w:type="character" w:customStyle="1" w:styleId="41">
    <w:name w:val="标题 8 字符"/>
    <w:link w:val="9"/>
    <w:qFormat/>
    <w:uiPriority w:val="0"/>
    <w:rPr>
      <w:rFonts w:ascii="Arial" w:hAnsi="Arial" w:eastAsia="黑体" w:cs="Times New Roman"/>
      <w:sz w:val="24"/>
      <w:szCs w:val="24"/>
    </w:rPr>
  </w:style>
  <w:style w:type="character" w:customStyle="1" w:styleId="42">
    <w:name w:val="标题 9 字符"/>
    <w:link w:val="10"/>
    <w:qFormat/>
    <w:uiPriority w:val="0"/>
    <w:rPr>
      <w:rFonts w:ascii="Arial" w:hAnsi="Arial" w:eastAsia="黑体" w:cs="Times New Roman"/>
      <w:szCs w:val="21"/>
    </w:rPr>
  </w:style>
  <w:style w:type="character" w:customStyle="1" w:styleId="43">
    <w:name w:val="页眉 字符"/>
    <w:link w:val="18"/>
    <w:autoRedefine/>
    <w:qFormat/>
    <w:uiPriority w:val="99"/>
    <w:rPr>
      <w:rFonts w:ascii="Times New Roman" w:hAnsi="Times New Roman" w:eastAsia="宋体" w:cs="Times New Roman"/>
      <w:sz w:val="18"/>
      <w:szCs w:val="18"/>
    </w:rPr>
  </w:style>
  <w:style w:type="character" w:customStyle="1" w:styleId="44">
    <w:name w:val="页脚 字符"/>
    <w:link w:val="17"/>
    <w:qFormat/>
    <w:uiPriority w:val="99"/>
    <w:rPr>
      <w:rFonts w:ascii="宋体" w:hAnsi="Times New Roman" w:eastAsia="宋体" w:cs="Times New Roman"/>
      <w:sz w:val="18"/>
      <w:szCs w:val="18"/>
    </w:rPr>
  </w:style>
  <w:style w:type="character" w:customStyle="1" w:styleId="45">
    <w:name w:val="批注框文本 字符"/>
    <w:link w:val="16"/>
    <w:autoRedefine/>
    <w:semiHidden/>
    <w:qFormat/>
    <w:uiPriority w:val="99"/>
    <w:rPr>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rPr>
  </w:style>
  <w:style w:type="character" w:customStyle="1" w:styleId="48">
    <w:name w:val="标题 字符"/>
    <w:link w:val="25"/>
    <w:autoRedefine/>
    <w:qFormat/>
    <w:uiPriority w:val="0"/>
    <w:rPr>
      <w:rFonts w:ascii="Arial" w:hAnsi="Arial" w:eastAsia="宋体" w:cs="Arial"/>
      <w:b/>
      <w:bCs/>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227"/>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autoRedefine/>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autoRedefine/>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autoRedefine/>
    <w:qFormat/>
    <w:uiPriority w:val="0"/>
    <w:pPr>
      <w:spacing w:line="310" w:lineRule="exact"/>
      <w:jc w:val="right"/>
    </w:pPr>
    <w:rPr>
      <w:rFonts w:ascii="黑体" w:eastAsia="黑体"/>
      <w:kern w:val="0"/>
      <w:sz w:val="28"/>
    </w:rPr>
  </w:style>
  <w:style w:type="paragraph" w:customStyle="1" w:styleId="69">
    <w:name w:val="标准文件_封面标准分类号"/>
    <w:basedOn w:val="1"/>
    <w:autoRedefine/>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autoRedefine/>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autoRedefine/>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autoRedefine/>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autoRedefine/>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autoRedefine/>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autoRedefine/>
    <w:qFormat/>
    <w:uiPriority w:val="0"/>
    <w:rPr>
      <w:rFonts w:ascii="Times New Roman" w:hAnsi="Times New Roman" w:eastAsia="宋体" w:cs="Times New Roman"/>
      <w:szCs w:val="20"/>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autoRedefine/>
    <w:qFormat/>
    <w:uiPriority w:val="0"/>
    <w:pPr>
      <w:ind w:left="488" w:leftChars="200" w:hanging="289" w:hangingChars="290"/>
    </w:pPr>
  </w:style>
  <w:style w:type="paragraph" w:customStyle="1" w:styleId="89">
    <w:name w:val="标准文件_前言、引言标题"/>
    <w:next w:val="1"/>
    <w:autoRedefine/>
    <w:qFormat/>
    <w:uiPriority w:val="0"/>
    <w:pPr>
      <w:numPr>
        <w:ilvl w:val="0"/>
        <w:numId w:val="8"/>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autoRedefine/>
    <w:qFormat/>
    <w:uiPriority w:val="0"/>
    <w:pPr>
      <w:spacing w:line="460" w:lineRule="exact"/>
    </w:pPr>
  </w:style>
  <w:style w:type="paragraph" w:customStyle="1" w:styleId="91">
    <w:name w:val="标准文件_目录标题"/>
    <w:basedOn w:val="1"/>
    <w:autoRedefine/>
    <w:qFormat/>
    <w:uiPriority w:val="0"/>
    <w:pPr>
      <w:spacing w:after="150" w:afterLines="150" w:line="240" w:lineRule="auto"/>
      <w:jc w:val="center"/>
    </w:pPr>
    <w:rPr>
      <w:rFonts w:ascii="黑体" w:eastAsia="黑体"/>
      <w:sz w:val="32"/>
    </w:rPr>
  </w:style>
  <w:style w:type="paragraph" w:customStyle="1" w:styleId="92">
    <w:name w:val="标准文件_破折号列项"/>
    <w:autoRedefine/>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autoRedefine/>
    <w:qFormat/>
    <w:uiPriority w:val="0"/>
    <w:pPr>
      <w:numPr>
        <w:numId w:val="10"/>
      </w:numPr>
      <w:ind w:left="0" w:firstLine="200"/>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autoRedefine/>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autoRedefine/>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autoRedefine/>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autoRedefine/>
    <w:semiHidden/>
    <w:qFormat/>
    <w:uiPriority w:val="0"/>
    <w:rPr>
      <w:rFonts w:ascii="宋体" w:hAnsi="Times New Roman" w:eastAsia="宋体" w:cs="Times New Roman"/>
      <w:sz w:val="18"/>
      <w:szCs w:val="18"/>
    </w:rPr>
  </w:style>
  <w:style w:type="paragraph" w:customStyle="1" w:styleId="100">
    <w:name w:val="标准文件_条文脚注"/>
    <w:basedOn w:val="21"/>
    <w:autoRedefine/>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autoRedefine/>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autoRedefine/>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autoRedefine/>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autoRedefine/>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autoRedefine/>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autoRedefine/>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autoRedefine/>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autoRedefine/>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autoRedefine/>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autoRedefine/>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autoRedefine/>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autoRedefine/>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autoRedefine/>
    <w:qFormat/>
    <w:uiPriority w:val="0"/>
    <w:pPr>
      <w:outlineLvl w:val="4"/>
    </w:pPr>
  </w:style>
  <w:style w:type="paragraph" w:customStyle="1" w:styleId="130">
    <w:name w:val="附录四级无标题条"/>
    <w:basedOn w:val="129"/>
    <w:next w:val="56"/>
    <w:autoRedefine/>
    <w:qFormat/>
    <w:uiPriority w:val="0"/>
    <w:pPr>
      <w:outlineLvl w:val="5"/>
    </w:pPr>
  </w:style>
  <w:style w:type="paragraph" w:customStyle="1" w:styleId="131">
    <w:name w:val="附录图"/>
    <w:next w:val="56"/>
    <w:autoRedefine/>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autoRedefine/>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autoRedefine/>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autoRedefine/>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autoRedefine/>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autoRedefine/>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ind w:left="783"/>
    </w:pPr>
    <w:rPr>
      <w:rFonts w:ascii="宋体" w:hAnsi="Times New Roman"/>
      <w:sz w:val="18"/>
      <w:szCs w:val="18"/>
    </w:rPr>
  </w:style>
  <w:style w:type="paragraph" w:customStyle="1" w:styleId="174">
    <w:name w:val="标准文件_字母编号列项（一级）"/>
    <w:qFormat/>
    <w:uiPriority w:val="0"/>
    <w:pPr>
      <w:tabs>
        <w:tab w:val="left" w:pos="851"/>
      </w:tabs>
      <w:ind w:left="851" w:hanging="426"/>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autoRedefine/>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20" w:beforeLines="2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left="1271" w:hanging="420" w:firstLineChars="0"/>
    </w:pPr>
  </w:style>
  <w:style w:type="paragraph" w:customStyle="1" w:styleId="188">
    <w:name w:val="标准文件_三级项2"/>
    <w:basedOn w:val="56"/>
    <w:qFormat/>
    <w:uiPriority w:val="0"/>
    <w:pPr>
      <w:numPr>
        <w:ilvl w:val="0"/>
        <w:numId w:val="30"/>
      </w:numPr>
      <w:spacing w:line="300" w:lineRule="exact"/>
      <w:ind w:left="1276" w:hanging="425" w:firstLineChars="0"/>
    </w:pPr>
    <w:rPr>
      <w:rFonts w:ascii="Times New Roman"/>
    </w:rPr>
  </w:style>
  <w:style w:type="paragraph" w:customStyle="1" w:styleId="189">
    <w:name w:val="标准文件_一级项2"/>
    <w:basedOn w:val="56"/>
    <w:qFormat/>
    <w:uiPriority w:val="0"/>
    <w:pPr>
      <w:numPr>
        <w:ilvl w:val="0"/>
        <w:numId w:val="31"/>
      </w:numPr>
      <w:spacing w:line="300" w:lineRule="exact"/>
      <w:ind w:left="1271" w:hanging="420"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wrap="around" w:vAnchor="page" w:hAnchor="page" w:x="1419" w:y="14097"/>
    </w:pPr>
  </w:style>
  <w:style w:type="paragraph" w:customStyle="1" w:styleId="194">
    <w:name w:val="其他实施日期"/>
    <w:basedOn w:val="154"/>
    <w:qFormat/>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frame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29">
    <w:name w:val="修订1"/>
    <w:hidden/>
    <w:semiHidden/>
    <w:qFormat/>
    <w:uiPriority w:val="99"/>
    <w:rPr>
      <w:rFonts w:ascii="Calibri" w:hAnsi="Calibri" w:eastAsia="宋体" w:cs="Times New Roman"/>
      <w:kern w:val="2"/>
      <w:sz w:val="21"/>
      <w:szCs w:val="21"/>
      <w:lang w:val="en-US" w:eastAsia="zh-CN" w:bidi="ar-SA"/>
    </w:rPr>
  </w:style>
  <w:style w:type="paragraph" w:styleId="230">
    <w:name w:val="List Paragraph"/>
    <w:basedOn w:val="1"/>
    <w:unhideWhenUsed/>
    <w:qFormat/>
    <w:uiPriority w:val="99"/>
    <w:pPr>
      <w:ind w:firstLine="420" w:firstLineChars="200"/>
    </w:pPr>
  </w:style>
  <w:style w:type="paragraph" w:customStyle="1" w:styleId="231">
    <w:name w:val="p16"/>
    <w:basedOn w:val="1"/>
    <w:qFormat/>
    <w:uiPriority w:val="0"/>
    <w:pPr>
      <w:widowControl/>
      <w:ind w:firstLine="420"/>
    </w:pPr>
    <w:rPr>
      <w:rFonts w:ascii="宋体" w:hAnsi="宋体" w:cs="宋体"/>
      <w:kern w:val="0"/>
    </w:rPr>
  </w:style>
  <w:style w:type="paragraph" w:customStyle="1" w:styleId="232">
    <w:name w:val="p0"/>
    <w:basedOn w:val="1"/>
    <w:qFormat/>
    <w:uiPriority w:val="0"/>
    <w:pPr>
      <w:widowControl/>
    </w:pPr>
    <w:rPr>
      <w:kern w:val="0"/>
    </w:rPr>
  </w:style>
  <w:style w:type="paragraph" w:customStyle="1" w:styleId="233">
    <w:name w:val="二级条标题"/>
    <w:basedOn w:val="234"/>
    <w:next w:val="236"/>
    <w:qFormat/>
    <w:uiPriority w:val="0"/>
    <w:pPr>
      <w:numPr>
        <w:ilvl w:val="2"/>
      </w:numPr>
      <w:spacing w:before="50" w:after="50"/>
      <w:outlineLvl w:val="3"/>
    </w:pPr>
  </w:style>
  <w:style w:type="paragraph" w:customStyle="1" w:styleId="234">
    <w:name w:val="一级条标题"/>
    <w:basedOn w:val="235"/>
    <w:next w:val="236"/>
    <w:qFormat/>
    <w:uiPriority w:val="0"/>
    <w:pPr>
      <w:numPr>
        <w:ilvl w:val="1"/>
      </w:numPr>
      <w:spacing w:before="156" w:beforeLines="50" w:after="156" w:afterLines="50"/>
      <w:outlineLvl w:val="2"/>
    </w:pPr>
    <w:rPr>
      <w:szCs w:val="21"/>
    </w:rPr>
  </w:style>
  <w:style w:type="paragraph" w:customStyle="1" w:styleId="235">
    <w:name w:val="章标题"/>
    <w:next w:val="236"/>
    <w:qFormat/>
    <w:uiPriority w:val="0"/>
    <w:pPr>
      <w:numPr>
        <w:ilvl w:val="0"/>
        <w:numId w:val="3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236">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37">
    <w:name w:val="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238">
    <w:name w:val="修订2"/>
    <w:hidden/>
    <w:unhideWhenUsed/>
    <w:qFormat/>
    <w:uiPriority w:val="99"/>
    <w:rPr>
      <w:rFonts w:ascii="Calibri" w:hAnsi="Calibri" w:eastAsia="宋体" w:cs="Times New Roman"/>
      <w:kern w:val="2"/>
      <w:sz w:val="21"/>
      <w:szCs w:val="21"/>
      <w:lang w:val="en-US" w:eastAsia="zh-CN" w:bidi="ar-SA"/>
    </w:rPr>
  </w:style>
  <w:style w:type="paragraph" w:customStyle="1" w:styleId="239">
    <w:name w:val="目次、标准名称标题"/>
    <w:basedOn w:val="1"/>
    <w:next w:val="23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glossaryDocument" Target="glossary/document.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5.jpe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tiff"/><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69;&#23478;&#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8B038B8CDA14FB896D3A52BE67D1C8A"/>
        <w:style w:val=""/>
        <w:category>
          <w:name w:val="常规"/>
          <w:gallery w:val="placeholder"/>
        </w:category>
        <w:types>
          <w:type w:val="bbPlcHdr"/>
        </w:types>
        <w:behaviors>
          <w:behavior w:val="content"/>
        </w:behaviors>
        <w:description w:val=""/>
        <w:guid w:val="{FFD862DC-5B05-4096-AB44-955A4375347E}"/>
      </w:docPartPr>
      <w:docPartBody>
        <w:p w14:paraId="1DEAD514">
          <w:pPr>
            <w:pStyle w:val="5"/>
            <w:rPr>
              <w:rFonts w:hint="eastAsia"/>
            </w:rPr>
          </w:pPr>
          <w:r>
            <w:rPr>
              <w:rStyle w:val="4"/>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AA2"/>
    <w:rsid w:val="00003AA2"/>
    <w:rsid w:val="000060BC"/>
    <w:rsid w:val="00076603"/>
    <w:rsid w:val="000F7217"/>
    <w:rsid w:val="00152E17"/>
    <w:rsid w:val="001607B9"/>
    <w:rsid w:val="00161FBE"/>
    <w:rsid w:val="001659B8"/>
    <w:rsid w:val="001B2E56"/>
    <w:rsid w:val="001C0101"/>
    <w:rsid w:val="001C013C"/>
    <w:rsid w:val="002475F5"/>
    <w:rsid w:val="00250BA7"/>
    <w:rsid w:val="002730FB"/>
    <w:rsid w:val="002C05AE"/>
    <w:rsid w:val="002E4E0C"/>
    <w:rsid w:val="002E740B"/>
    <w:rsid w:val="00364E1C"/>
    <w:rsid w:val="00394E8B"/>
    <w:rsid w:val="0041013F"/>
    <w:rsid w:val="004424F8"/>
    <w:rsid w:val="00465C48"/>
    <w:rsid w:val="0049508C"/>
    <w:rsid w:val="0049773F"/>
    <w:rsid w:val="004B3087"/>
    <w:rsid w:val="004E36C1"/>
    <w:rsid w:val="00530E46"/>
    <w:rsid w:val="00545D9D"/>
    <w:rsid w:val="00573559"/>
    <w:rsid w:val="005945EF"/>
    <w:rsid w:val="00597552"/>
    <w:rsid w:val="005A6425"/>
    <w:rsid w:val="005B6437"/>
    <w:rsid w:val="005B6A77"/>
    <w:rsid w:val="005F158A"/>
    <w:rsid w:val="00601C5D"/>
    <w:rsid w:val="006052C3"/>
    <w:rsid w:val="00652683"/>
    <w:rsid w:val="00661000"/>
    <w:rsid w:val="00687C01"/>
    <w:rsid w:val="006B4208"/>
    <w:rsid w:val="006F6081"/>
    <w:rsid w:val="006F6F83"/>
    <w:rsid w:val="00725B85"/>
    <w:rsid w:val="00771579"/>
    <w:rsid w:val="007A3130"/>
    <w:rsid w:val="007C1930"/>
    <w:rsid w:val="007F7B84"/>
    <w:rsid w:val="00801256"/>
    <w:rsid w:val="00804534"/>
    <w:rsid w:val="0085182B"/>
    <w:rsid w:val="00867961"/>
    <w:rsid w:val="0087067E"/>
    <w:rsid w:val="008856B2"/>
    <w:rsid w:val="008971A1"/>
    <w:rsid w:val="008979C4"/>
    <w:rsid w:val="008C0FE3"/>
    <w:rsid w:val="0093020E"/>
    <w:rsid w:val="009B7E1F"/>
    <w:rsid w:val="009C45B4"/>
    <w:rsid w:val="009E49CC"/>
    <w:rsid w:val="009E4A45"/>
    <w:rsid w:val="00A14447"/>
    <w:rsid w:val="00A267EB"/>
    <w:rsid w:val="00A42B42"/>
    <w:rsid w:val="00A43BB4"/>
    <w:rsid w:val="00A5459D"/>
    <w:rsid w:val="00A62301"/>
    <w:rsid w:val="00AD16B4"/>
    <w:rsid w:val="00AE33BE"/>
    <w:rsid w:val="00AE7673"/>
    <w:rsid w:val="00B073F1"/>
    <w:rsid w:val="00B10FD5"/>
    <w:rsid w:val="00B25363"/>
    <w:rsid w:val="00B5040B"/>
    <w:rsid w:val="00BB07C4"/>
    <w:rsid w:val="00BB3C3B"/>
    <w:rsid w:val="00BC5AD9"/>
    <w:rsid w:val="00BE5546"/>
    <w:rsid w:val="00C12BC9"/>
    <w:rsid w:val="00C22C60"/>
    <w:rsid w:val="00C75C72"/>
    <w:rsid w:val="00C94662"/>
    <w:rsid w:val="00CC4C80"/>
    <w:rsid w:val="00D056A3"/>
    <w:rsid w:val="00D1204E"/>
    <w:rsid w:val="00D201B8"/>
    <w:rsid w:val="00D403A6"/>
    <w:rsid w:val="00D443E3"/>
    <w:rsid w:val="00D51D5D"/>
    <w:rsid w:val="00D54EF2"/>
    <w:rsid w:val="00D72252"/>
    <w:rsid w:val="00D958D6"/>
    <w:rsid w:val="00DA5F8A"/>
    <w:rsid w:val="00DA77F9"/>
    <w:rsid w:val="00DC0442"/>
    <w:rsid w:val="00DC6796"/>
    <w:rsid w:val="00DD293F"/>
    <w:rsid w:val="00E1623B"/>
    <w:rsid w:val="00E17DC0"/>
    <w:rsid w:val="00E426CC"/>
    <w:rsid w:val="00E47654"/>
    <w:rsid w:val="00E74AFE"/>
    <w:rsid w:val="00E87FE3"/>
    <w:rsid w:val="00EA0AC2"/>
    <w:rsid w:val="00EA4A19"/>
    <w:rsid w:val="00EB30EE"/>
    <w:rsid w:val="00ED6492"/>
    <w:rsid w:val="00F310E6"/>
    <w:rsid w:val="00F716A4"/>
    <w:rsid w:val="00FF40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sdException w:qFormat="1" w:unhideWhenUsed="0" w:uiPriority="99" w:name="Placeholder Text"/>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78B038B8CDA14FB896D3A52BE67D1C8A"/>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44FE21-FC6F-46FD-A206-2669E725AF1C}">
  <ds:schemaRefs/>
</ds:datastoreItem>
</file>

<file path=docProps/app.xml><?xml version="1.0" encoding="utf-8"?>
<Properties xmlns="http://schemas.openxmlformats.org/officeDocument/2006/extended-properties" xmlns:vt="http://schemas.openxmlformats.org/officeDocument/2006/docPropsVTypes">
  <Template>国家标准</Template>
  <Company>PCMI</Company>
  <Pages>21</Pages>
  <Words>6982</Words>
  <Characters>8382</Characters>
  <Lines>191</Lines>
  <Paragraphs>53</Paragraphs>
  <TotalTime>6</TotalTime>
  <ScaleCrop>false</ScaleCrop>
  <LinksUpToDate>false</LinksUpToDate>
  <CharactersWithSpaces>25247</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2021-07-22T10:47:00Z</dcterms:created>
  <dc:creator>hengych</dc:creator>
  <cp:lastModifiedBy>殷坤</cp:lastModifiedBy>
  <cp:lastPrinted>2024-11-29T07:59:00Z</cp:lastPrinted>
  <dcterms:modified xsi:type="dcterms:W3CDTF">2026-05-08T06:09:19Z</dcterms:modified>
  <dc:title>国家标准</dc:title>
  <cp:revision>122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国家标准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2052-12.1.0.25865</vt:lpwstr>
  </property>
  <property fmtid="{D5CDD505-2E9C-101B-9397-08002B2CF9AE}" pid="15" name="ICV">
    <vt:lpwstr>CC1E311395184904B20CCB11CDFBC81F_13</vt:lpwstr>
  </property>
  <property fmtid="{D5CDD505-2E9C-101B-9397-08002B2CF9AE}" pid="16" name="KSOTemplateDocerSaveRecord">
    <vt:lpwstr>eyJoZGlkIjoiN2UwMDQ4NzZmOTFjZWQyM2VjMTI4ZDRkNGVhYzdkMTQiLCJ1c2VySWQiOiI2MDM5MTExMzgifQ==</vt:lpwstr>
  </property>
</Properties>
</file>