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BAF98" w14:textId="77777777" w:rsidR="00C04E53" w:rsidRDefault="00000000">
      <w:pPr>
        <w:spacing w:line="360" w:lineRule="auto"/>
        <w:jc w:val="center"/>
        <w:rPr>
          <w:b/>
          <w:sz w:val="32"/>
          <w:szCs w:val="32"/>
        </w:rPr>
      </w:pPr>
      <w:r>
        <w:rPr>
          <w:rFonts w:hint="eastAsia"/>
          <w:b/>
          <w:sz w:val="32"/>
          <w:szCs w:val="32"/>
        </w:rPr>
        <w:t>《</w:t>
      </w:r>
      <w:bookmarkStart w:id="0" w:name="_Hlk225771094"/>
      <w:bookmarkStart w:id="1" w:name="_Hlk225770952"/>
      <w:r>
        <w:rPr>
          <w:rFonts w:hint="eastAsia"/>
          <w:b/>
          <w:sz w:val="32"/>
          <w:szCs w:val="32"/>
        </w:rPr>
        <w:t>餐具和餐桌用凹形器皿</w:t>
      </w:r>
      <w:r>
        <w:rPr>
          <w:rFonts w:hint="eastAsia"/>
          <w:b/>
          <w:sz w:val="32"/>
          <w:szCs w:val="32"/>
        </w:rPr>
        <w:t xml:space="preserve"> </w:t>
      </w:r>
      <w:r>
        <w:rPr>
          <w:rFonts w:hint="eastAsia"/>
          <w:b/>
          <w:sz w:val="32"/>
          <w:szCs w:val="32"/>
        </w:rPr>
        <w:t>第</w:t>
      </w:r>
      <w:r>
        <w:rPr>
          <w:rFonts w:hint="eastAsia"/>
          <w:b/>
          <w:sz w:val="32"/>
          <w:szCs w:val="32"/>
        </w:rPr>
        <w:t>3</w:t>
      </w:r>
      <w:r>
        <w:rPr>
          <w:rFonts w:hint="eastAsia"/>
          <w:b/>
          <w:sz w:val="32"/>
          <w:szCs w:val="32"/>
        </w:rPr>
        <w:t>部分：镀银餐用和装饰用器皿技术要求</w:t>
      </w:r>
      <w:bookmarkEnd w:id="0"/>
      <w:r>
        <w:rPr>
          <w:rFonts w:hint="eastAsia"/>
          <w:b/>
          <w:sz w:val="32"/>
          <w:szCs w:val="32"/>
        </w:rPr>
        <w:t>》</w:t>
      </w:r>
      <w:bookmarkEnd w:id="1"/>
      <w:r>
        <w:rPr>
          <w:rFonts w:hint="eastAsia"/>
          <w:b/>
          <w:sz w:val="32"/>
          <w:szCs w:val="32"/>
        </w:rPr>
        <w:t>国家标准编制说明</w:t>
      </w:r>
    </w:p>
    <w:p w14:paraId="392C3568" w14:textId="77777777" w:rsidR="00C04E53" w:rsidRDefault="00000000">
      <w:pPr>
        <w:spacing w:line="360" w:lineRule="auto"/>
        <w:jc w:val="center"/>
        <w:rPr>
          <w:sz w:val="30"/>
          <w:szCs w:val="30"/>
        </w:rPr>
      </w:pPr>
      <w:r>
        <w:rPr>
          <w:rFonts w:hint="eastAsia"/>
          <w:sz w:val="30"/>
          <w:szCs w:val="30"/>
        </w:rPr>
        <w:t>（征求意见稿）</w:t>
      </w:r>
    </w:p>
    <w:p w14:paraId="7009B2CA"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一、工作简况</w:t>
      </w:r>
    </w:p>
    <w:p w14:paraId="54709B9E" w14:textId="6BFD5B38" w:rsidR="00C04E53" w:rsidRPr="00860D8B" w:rsidRDefault="00000000" w:rsidP="00860D8B">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 任务来源</w:t>
      </w:r>
    </w:p>
    <w:p w14:paraId="7F0EDC74" w14:textId="77777777" w:rsidR="00C04E53" w:rsidRDefault="00000000">
      <w:pPr>
        <w:spacing w:line="360" w:lineRule="auto"/>
        <w:ind w:firstLineChars="200" w:firstLine="480"/>
        <w:jc w:val="left"/>
        <w:rPr>
          <w:color w:val="000000"/>
          <w:sz w:val="24"/>
          <w:szCs w:val="24"/>
        </w:rPr>
      </w:pPr>
      <w:r>
        <w:rPr>
          <w:rFonts w:hint="eastAsia"/>
          <w:color w:val="000000"/>
          <w:sz w:val="24"/>
          <w:szCs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r>
        <w:rPr>
          <w:rFonts w:hint="eastAsia"/>
          <w:color w:val="000000"/>
          <w:sz w:val="24"/>
          <w:szCs w:val="24"/>
        </w:rPr>
        <w:t>》经国家标准化管</w:t>
      </w:r>
      <w:r>
        <w:rPr>
          <w:rFonts w:hint="eastAsia"/>
          <w:color w:val="000000"/>
          <w:sz w:val="24"/>
        </w:rPr>
        <w:t>理委员会（国标委发</w:t>
      </w:r>
      <w:r>
        <w:rPr>
          <w:rFonts w:hint="eastAsia"/>
          <w:color w:val="000000"/>
          <w:sz w:val="24"/>
        </w:rPr>
        <w:t>[2025]43</w:t>
      </w:r>
      <w:r>
        <w:rPr>
          <w:rFonts w:hint="eastAsia"/>
          <w:color w:val="000000"/>
          <w:sz w:val="24"/>
        </w:rPr>
        <w:t>号）文件批准，列入“</w:t>
      </w:r>
      <w:r>
        <w:rPr>
          <w:rFonts w:hint="eastAsia"/>
          <w:color w:val="000000"/>
          <w:sz w:val="24"/>
        </w:rPr>
        <w:t>2025</w:t>
      </w:r>
      <w:r>
        <w:rPr>
          <w:rFonts w:hint="eastAsia"/>
          <w:color w:val="000000"/>
          <w:sz w:val="24"/>
        </w:rPr>
        <w:t>年第七批推荐性国家标准计划及相关标准外文版计划”。计划编号：</w:t>
      </w:r>
      <w:r>
        <w:rPr>
          <w:rFonts w:hint="eastAsia"/>
          <w:color w:val="000000"/>
          <w:sz w:val="24"/>
        </w:rPr>
        <w:t>20253245-T-607</w:t>
      </w:r>
      <w:r>
        <w:rPr>
          <w:rFonts w:hint="eastAsia"/>
          <w:color w:val="000000"/>
          <w:sz w:val="24"/>
          <w:szCs w:val="24"/>
        </w:rPr>
        <w:t>。该标准由全国金属餐饮及烹饪器具标准化技术委员会</w:t>
      </w:r>
      <w:r>
        <w:rPr>
          <w:rFonts w:hint="eastAsia"/>
          <w:color w:val="000000"/>
          <w:sz w:val="24"/>
          <w:szCs w:val="24"/>
        </w:rPr>
        <w:t>(TC410)</w:t>
      </w:r>
      <w:r>
        <w:rPr>
          <w:rFonts w:hint="eastAsia"/>
          <w:color w:val="000000"/>
          <w:sz w:val="24"/>
          <w:szCs w:val="24"/>
        </w:rPr>
        <w:t>归口。</w:t>
      </w:r>
    </w:p>
    <w:p w14:paraId="4A01AFAD" w14:textId="58EE8E66" w:rsidR="00571B32" w:rsidRPr="00571B32" w:rsidRDefault="00571B32" w:rsidP="00571B32">
      <w:pPr>
        <w:pStyle w:val="af0"/>
        <w:spacing w:line="360" w:lineRule="auto"/>
        <w:ind w:firstLine="480"/>
        <w:rPr>
          <w:rFonts w:ascii="黑体" w:eastAsia="黑体" w:hAnsi="宋体" w:hint="eastAsia"/>
          <w:sz w:val="24"/>
        </w:rPr>
      </w:pPr>
      <w:r>
        <w:rPr>
          <w:rFonts w:ascii="黑体" w:eastAsia="黑体" w:hAnsi="宋体" w:hint="eastAsia"/>
          <w:sz w:val="24"/>
        </w:rPr>
        <w:t>2 职责</w:t>
      </w:r>
      <w:r w:rsidRPr="00133E08">
        <w:rPr>
          <w:rFonts w:ascii="黑体" w:eastAsia="黑体" w:hAnsi="宋体" w:hint="eastAsia"/>
          <w:sz w:val="24"/>
        </w:rPr>
        <w:t>分工</w:t>
      </w:r>
    </w:p>
    <w:p w14:paraId="5A6CB35F" w14:textId="77777777" w:rsidR="00630944" w:rsidRPr="002C4FBC" w:rsidRDefault="00630944" w:rsidP="00630944">
      <w:pPr>
        <w:pStyle w:val="af0"/>
        <w:spacing w:line="360" w:lineRule="auto"/>
        <w:ind w:firstLine="420"/>
      </w:pPr>
      <w:r w:rsidRPr="002C4FBC">
        <w:t>本文件起草单位：中国日用五金技术开发中心、中国五金制品协会、中国</w:t>
      </w:r>
      <w:r>
        <w:rPr>
          <w:rFonts w:hint="eastAsia"/>
        </w:rPr>
        <w:t>质量</w:t>
      </w:r>
      <w:r w:rsidRPr="002C4FBC">
        <w:t>认证中心有限公司、浙江炊大王炊具有限公司、爱仕达股份有限公司</w:t>
      </w:r>
      <w:r>
        <w:rPr>
          <w:rFonts w:hint="eastAsia"/>
        </w:rPr>
        <w:t>、广东凌丰家居用品股份有限公司、</w:t>
      </w:r>
      <w:r w:rsidRPr="002C4FBC">
        <w:t>广东省五金制品协会。</w:t>
      </w:r>
    </w:p>
    <w:p w14:paraId="172A2765" w14:textId="77777777" w:rsidR="00630944" w:rsidRPr="00E22899" w:rsidRDefault="00630944" w:rsidP="00630944">
      <w:pPr>
        <w:pStyle w:val="af0"/>
        <w:spacing w:line="360" w:lineRule="auto"/>
        <w:ind w:firstLine="420"/>
      </w:pPr>
      <w:r w:rsidRPr="002C4FBC">
        <w:t>本文件主要起草人：</w:t>
      </w:r>
      <w:r>
        <w:rPr>
          <w:rFonts w:hint="eastAsia"/>
        </w:rPr>
        <w:t>薛瑞刚、</w:t>
      </w:r>
      <w:r w:rsidRPr="002C4FBC">
        <w:t>柳润峰、杨岩、崔雁燕、蒲万见、周求应、</w:t>
      </w:r>
      <w:r>
        <w:rPr>
          <w:rFonts w:hint="eastAsia"/>
        </w:rPr>
        <w:t>伍晓宇、</w:t>
      </w:r>
      <w:r w:rsidRPr="002C4FBC">
        <w:t>徐德军。</w:t>
      </w:r>
    </w:p>
    <w:p w14:paraId="62C515A7" w14:textId="3EADF94C" w:rsidR="00792FD4" w:rsidRDefault="00792FD4" w:rsidP="00792FD4">
      <w:pPr>
        <w:spacing w:line="360" w:lineRule="auto"/>
        <w:ind w:firstLineChars="200" w:firstLine="480"/>
        <w:jc w:val="left"/>
        <w:rPr>
          <w:sz w:val="24"/>
          <w:szCs w:val="24"/>
        </w:rPr>
      </w:pPr>
      <w:r w:rsidRPr="00964B72">
        <w:rPr>
          <w:rFonts w:hint="eastAsia"/>
          <w:sz w:val="24"/>
          <w:szCs w:val="24"/>
        </w:rPr>
        <w:t>单智华任</w:t>
      </w:r>
      <w:r w:rsidRPr="00964B72">
        <w:rPr>
          <w:sz w:val="24"/>
          <w:szCs w:val="24"/>
        </w:rPr>
        <w:t>起草组组长</w:t>
      </w:r>
      <w:r w:rsidRPr="00964B72">
        <w:rPr>
          <w:rFonts w:hint="eastAsia"/>
          <w:sz w:val="24"/>
          <w:szCs w:val="24"/>
        </w:rPr>
        <w:t>，负责</w:t>
      </w:r>
      <w:r w:rsidRPr="00964B72">
        <w:rPr>
          <w:sz w:val="24"/>
          <w:szCs w:val="24"/>
        </w:rPr>
        <w:t>全面统筹标准制修订全部工作；确定编制大纲、工作进度计划、关键技术路线；主持起草组全体会议、研讨会、意见评审会；对接主管部门、标准化管理机构；审定标准草案、征求意见稿、送审稿、报批稿。</w:t>
      </w:r>
    </w:p>
    <w:p w14:paraId="3DDC8F5F" w14:textId="6A32CA5B" w:rsidR="00792FD4" w:rsidRPr="00CA21C2" w:rsidRDefault="00CC4835" w:rsidP="006F77C4">
      <w:pPr>
        <w:spacing w:line="360" w:lineRule="auto"/>
        <w:ind w:firstLineChars="200" w:firstLine="480"/>
        <w:jc w:val="left"/>
        <w:rPr>
          <w:rFonts w:hint="eastAsia"/>
          <w:sz w:val="24"/>
          <w:szCs w:val="24"/>
        </w:rPr>
      </w:pPr>
      <w:r w:rsidRPr="00CA21C2">
        <w:rPr>
          <w:rFonts w:hint="eastAsia"/>
          <w:sz w:val="24"/>
          <w:szCs w:val="24"/>
        </w:rPr>
        <w:t>薛瑞刚、</w:t>
      </w:r>
      <w:r w:rsidRPr="00CA21C2">
        <w:rPr>
          <w:sz w:val="24"/>
          <w:szCs w:val="24"/>
        </w:rPr>
        <w:t>柳润峰、杨岩、崔雁燕</w:t>
      </w:r>
      <w:r w:rsidR="00792FD4" w:rsidRPr="00CA21C2">
        <w:rPr>
          <w:rFonts w:hint="eastAsia"/>
          <w:sz w:val="24"/>
          <w:szCs w:val="24"/>
        </w:rPr>
        <w:t>任</w:t>
      </w:r>
      <w:r w:rsidR="00792FD4" w:rsidRPr="00CA21C2">
        <w:rPr>
          <w:sz w:val="24"/>
          <w:szCs w:val="24"/>
        </w:rPr>
        <w:t>核心起草成员</w:t>
      </w:r>
      <w:r w:rsidR="00792FD4" w:rsidRPr="00CA21C2">
        <w:rPr>
          <w:rFonts w:hint="eastAsia"/>
          <w:sz w:val="24"/>
          <w:szCs w:val="24"/>
        </w:rPr>
        <w:t>，</w:t>
      </w:r>
      <w:r w:rsidR="00792FD4" w:rsidRPr="00CA21C2">
        <w:rPr>
          <w:sz w:val="24"/>
          <w:szCs w:val="24"/>
        </w:rPr>
        <w:t>承担标准指定章节、核心技术条款</w:t>
      </w:r>
      <w:r w:rsidR="00D27619" w:rsidRPr="00CA21C2">
        <w:rPr>
          <w:rFonts w:hint="eastAsia"/>
          <w:sz w:val="24"/>
          <w:szCs w:val="24"/>
        </w:rPr>
        <w:t>翻译</w:t>
      </w:r>
      <w:r w:rsidR="00792FD4" w:rsidRPr="00CA21C2">
        <w:rPr>
          <w:sz w:val="24"/>
          <w:szCs w:val="24"/>
        </w:rPr>
        <w:t>撰写；开展行业调研、数据统计、对比分析；参与</w:t>
      </w:r>
      <w:r w:rsidR="00792FD4" w:rsidRPr="00CA21C2">
        <w:rPr>
          <w:rFonts w:hint="eastAsia"/>
          <w:sz w:val="24"/>
          <w:szCs w:val="24"/>
        </w:rPr>
        <w:t>标准中试验设备、相关指标、标准文本的讨论与研究</w:t>
      </w:r>
      <w:r w:rsidR="00792FD4" w:rsidRPr="00CA21C2">
        <w:rPr>
          <w:sz w:val="24"/>
          <w:szCs w:val="24"/>
        </w:rPr>
        <w:t>。逐条回复外部征求意见、修改完善条文；</w:t>
      </w:r>
      <w:r w:rsidR="006F77C4" w:rsidRPr="00CA21C2">
        <w:rPr>
          <w:rFonts w:hint="eastAsia"/>
          <w:sz w:val="24"/>
          <w:szCs w:val="24"/>
        </w:rPr>
        <w:t>国内外标准收集、研究与对比分析；</w:t>
      </w:r>
    </w:p>
    <w:p w14:paraId="5174F1F9" w14:textId="5D4A3546" w:rsidR="00792FD4" w:rsidRDefault="00CC4835" w:rsidP="00CC4835">
      <w:pPr>
        <w:pStyle w:val="af0"/>
        <w:spacing w:line="360" w:lineRule="auto"/>
        <w:ind w:firstLine="480"/>
        <w:rPr>
          <w:sz w:val="24"/>
          <w:szCs w:val="24"/>
        </w:rPr>
      </w:pPr>
      <w:r w:rsidRPr="006344E6">
        <w:rPr>
          <w:rFonts w:asciiTheme="minorHAnsi" w:eastAsiaTheme="minorEastAsia" w:hAnsiTheme="minorHAnsi" w:cstheme="minorBidi"/>
          <w:color w:val="000000"/>
          <w:kern w:val="2"/>
          <w:sz w:val="24"/>
          <w:szCs w:val="24"/>
        </w:rPr>
        <w:t>蒲万见、周求应</w:t>
      </w:r>
      <w:r w:rsidR="00792FD4" w:rsidRPr="00964B72">
        <w:rPr>
          <w:rFonts w:hint="eastAsia"/>
          <w:sz w:val="24"/>
          <w:szCs w:val="24"/>
        </w:rPr>
        <w:t>任</w:t>
      </w:r>
      <w:r w:rsidR="00792FD4">
        <w:rPr>
          <w:rFonts w:hint="eastAsia"/>
          <w:sz w:val="24"/>
          <w:szCs w:val="24"/>
        </w:rPr>
        <w:t>审核人</w:t>
      </w:r>
      <w:r w:rsidR="00792FD4" w:rsidRPr="00964B72">
        <w:rPr>
          <w:sz w:val="24"/>
          <w:szCs w:val="24"/>
        </w:rPr>
        <w:t>员</w:t>
      </w:r>
      <w:r w:rsidR="00792FD4" w:rsidRPr="00964B72">
        <w:rPr>
          <w:rFonts w:hint="eastAsia"/>
          <w:sz w:val="24"/>
          <w:szCs w:val="24"/>
        </w:rPr>
        <w:t>，</w:t>
      </w:r>
      <w:r w:rsidR="00792FD4" w:rsidRPr="00C57940">
        <w:rPr>
          <w:sz w:val="24"/>
          <w:szCs w:val="24"/>
        </w:rPr>
        <w:t>参与</w:t>
      </w:r>
      <w:r w:rsidR="00792FD4" w:rsidRPr="00C57940">
        <w:rPr>
          <w:rFonts w:hint="eastAsia"/>
          <w:sz w:val="24"/>
          <w:szCs w:val="24"/>
        </w:rPr>
        <w:t>标准中试验设备、相关指标、标准文本的讨论与研究；</w:t>
      </w:r>
      <w:r w:rsidR="00792FD4" w:rsidRPr="00C57940">
        <w:rPr>
          <w:sz w:val="24"/>
          <w:szCs w:val="24"/>
        </w:rPr>
        <w:t>把关试验方法、指标限值、规范性附录内容</w:t>
      </w:r>
      <w:r w:rsidR="00792FD4" w:rsidRPr="00C57940">
        <w:rPr>
          <w:rFonts w:hint="eastAsia"/>
          <w:sz w:val="24"/>
          <w:szCs w:val="24"/>
        </w:rPr>
        <w:t>；</w:t>
      </w:r>
      <w:r w:rsidR="00792FD4" w:rsidRPr="00C57940">
        <w:rPr>
          <w:sz w:val="24"/>
          <w:szCs w:val="24"/>
        </w:rPr>
        <w:t>核对与现行国标/行标/地标无矛盾、无冲突</w:t>
      </w:r>
      <w:r w:rsidR="00792FD4" w:rsidRPr="00C57940">
        <w:rPr>
          <w:rFonts w:hint="eastAsia"/>
          <w:sz w:val="24"/>
          <w:szCs w:val="24"/>
        </w:rPr>
        <w:t>；</w:t>
      </w:r>
      <w:r w:rsidR="00792FD4" w:rsidRPr="00C57940">
        <w:rPr>
          <w:sz w:val="24"/>
          <w:szCs w:val="24"/>
        </w:rPr>
        <w:t>审核标准技术内容合理性、安全性、合规性</w:t>
      </w:r>
      <w:r w:rsidR="00792FD4" w:rsidRPr="00C57940">
        <w:rPr>
          <w:rFonts w:hint="eastAsia"/>
          <w:sz w:val="24"/>
          <w:szCs w:val="24"/>
        </w:rPr>
        <w:t>。</w:t>
      </w:r>
    </w:p>
    <w:p w14:paraId="5805458E" w14:textId="60036305" w:rsidR="00977E18" w:rsidRPr="00CC4835" w:rsidRDefault="00977E18" w:rsidP="00CC4835">
      <w:pPr>
        <w:pStyle w:val="af0"/>
        <w:spacing w:line="360" w:lineRule="auto"/>
        <w:ind w:firstLine="420"/>
        <w:rPr>
          <w:rFonts w:asciiTheme="minorHAnsi" w:eastAsiaTheme="minorEastAsia" w:hAnsiTheme="minorHAnsi" w:cstheme="minorBidi"/>
          <w:color w:val="000000"/>
          <w:kern w:val="2"/>
          <w:sz w:val="24"/>
          <w:szCs w:val="24"/>
        </w:rPr>
      </w:pPr>
      <w:r>
        <w:rPr>
          <w:rFonts w:hint="eastAsia"/>
        </w:rPr>
        <w:t>伍晓宇、</w:t>
      </w:r>
      <w:r w:rsidRPr="002C4FBC">
        <w:t>徐德军</w:t>
      </w:r>
      <w:r>
        <w:rPr>
          <w:rFonts w:hint="eastAsia"/>
        </w:rPr>
        <w:t>任起草人员，</w:t>
      </w:r>
      <w:r w:rsidRPr="00C57940">
        <w:rPr>
          <w:sz w:val="24"/>
          <w:szCs w:val="24"/>
        </w:rPr>
        <w:t>参与</w:t>
      </w:r>
      <w:r w:rsidRPr="00C57940">
        <w:rPr>
          <w:rFonts w:hint="eastAsia"/>
          <w:sz w:val="24"/>
          <w:szCs w:val="24"/>
        </w:rPr>
        <w:t>标准中试验设备、相关指标、标准文本的讨论与研究；</w:t>
      </w:r>
    </w:p>
    <w:p w14:paraId="0E73BBB8" w14:textId="77777777" w:rsidR="00792FD4" w:rsidRPr="00964B72" w:rsidRDefault="00792FD4" w:rsidP="00792FD4">
      <w:pPr>
        <w:spacing w:line="360" w:lineRule="auto"/>
        <w:ind w:firstLineChars="200" w:firstLine="480"/>
        <w:jc w:val="left"/>
        <w:rPr>
          <w:sz w:val="24"/>
          <w:szCs w:val="24"/>
        </w:rPr>
      </w:pPr>
      <w:r w:rsidRPr="00964B72">
        <w:rPr>
          <w:rFonts w:hint="eastAsia"/>
          <w:sz w:val="24"/>
          <w:szCs w:val="24"/>
        </w:rPr>
        <w:t>张雪凌任</w:t>
      </w:r>
      <w:r>
        <w:rPr>
          <w:rFonts w:hint="eastAsia"/>
          <w:sz w:val="24"/>
          <w:szCs w:val="24"/>
        </w:rPr>
        <w:t>起草组秘书</w:t>
      </w:r>
      <w:r w:rsidRPr="00964B72">
        <w:rPr>
          <w:rFonts w:hint="eastAsia"/>
          <w:sz w:val="24"/>
          <w:szCs w:val="24"/>
        </w:rPr>
        <w:t>，</w:t>
      </w:r>
      <w:r>
        <w:rPr>
          <w:rFonts w:hint="eastAsia"/>
          <w:sz w:val="24"/>
          <w:szCs w:val="24"/>
        </w:rPr>
        <w:t>负责</w:t>
      </w:r>
      <w:r w:rsidRPr="00964B72">
        <w:rPr>
          <w:sz w:val="24"/>
          <w:szCs w:val="24"/>
        </w:rPr>
        <w:t>制定进度表、</w:t>
      </w:r>
      <w:r w:rsidRPr="00964B72">
        <w:rPr>
          <w:rFonts w:hint="eastAsia"/>
          <w:sz w:val="24"/>
          <w:szCs w:val="24"/>
        </w:rPr>
        <w:t>签到表、</w:t>
      </w:r>
      <w:r w:rsidRPr="00964B72">
        <w:rPr>
          <w:sz w:val="24"/>
          <w:szCs w:val="24"/>
        </w:rPr>
        <w:t>会议纪要；收集整理文献</w:t>
      </w:r>
      <w:r w:rsidRPr="00964B72">
        <w:rPr>
          <w:sz w:val="24"/>
          <w:szCs w:val="24"/>
        </w:rPr>
        <w:lastRenderedPageBreak/>
        <w:t>资料、调研资料、各方反馈意见；统一标准文本格式、排版、编号、校对；联络组员、通知会议、整理归档全套报批资料。</w:t>
      </w:r>
    </w:p>
    <w:p w14:paraId="08F548A8" w14:textId="77777777" w:rsidR="00792FD4" w:rsidRPr="00CC4835" w:rsidRDefault="00792FD4" w:rsidP="00792FD4">
      <w:pPr>
        <w:spacing w:line="360" w:lineRule="auto"/>
        <w:ind w:firstLineChars="200" w:firstLine="480"/>
        <w:rPr>
          <w:sz w:val="24"/>
          <w:szCs w:val="24"/>
        </w:rPr>
      </w:pPr>
      <w:r w:rsidRPr="00CC4835">
        <w:rPr>
          <w:rFonts w:hint="eastAsia"/>
          <w:sz w:val="24"/>
          <w:szCs w:val="24"/>
        </w:rPr>
        <w:t>项目周期</w:t>
      </w:r>
      <w:r w:rsidRPr="00CC4835">
        <w:rPr>
          <w:rFonts w:hint="eastAsia"/>
          <w:sz w:val="24"/>
          <w:szCs w:val="24"/>
        </w:rPr>
        <w:t>12</w:t>
      </w:r>
      <w:r w:rsidRPr="00CC4835">
        <w:rPr>
          <w:rFonts w:hint="eastAsia"/>
          <w:sz w:val="24"/>
          <w:szCs w:val="24"/>
        </w:rPr>
        <w:t>个月。</w:t>
      </w:r>
    </w:p>
    <w:p w14:paraId="0632DEE4" w14:textId="0987ED79" w:rsidR="00C04E53" w:rsidRDefault="00571B32">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3 主要工作过程</w:t>
      </w:r>
    </w:p>
    <w:p w14:paraId="689D82CE" w14:textId="77777777" w:rsidR="00C04E53" w:rsidRDefault="00000000">
      <w:pPr>
        <w:numPr>
          <w:ilvl w:val="0"/>
          <w:numId w:val="4"/>
        </w:numPr>
        <w:spacing w:line="360" w:lineRule="auto"/>
        <w:ind w:firstLineChars="200" w:firstLine="480"/>
        <w:rPr>
          <w:rFonts w:ascii="黑体" w:eastAsia="黑体" w:hAnsi="黑体" w:cs="黑体" w:hint="eastAsia"/>
          <w:sz w:val="24"/>
        </w:rPr>
      </w:pPr>
      <w:r>
        <w:rPr>
          <w:rFonts w:ascii="黑体" w:eastAsia="黑体" w:hAnsi="黑体" w:cs="黑体" w:hint="eastAsia"/>
          <w:sz w:val="24"/>
        </w:rPr>
        <w:t>起草阶段</w:t>
      </w:r>
    </w:p>
    <w:p w14:paraId="7DAFF897"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2025年8月6日，由全国金属餐饮及烹饪器具标准化技术委员会牵头组织成立了标准起草工作组，按照国家标准的管理要求，制定了该项目制定工作计划，展开了标准制定工作，起草小组成员代表在收集并分析国内外相关标准、技术文献和资料的基础上，对标准起草过程中的难点问题进行了研究分析，结合国内镀银餐用和装饰用器皿行业的市场发展现状共同确立了标准制定的主要条款、制定原则与核心指标，形成标准讨论稿。</w:t>
      </w:r>
    </w:p>
    <w:p w14:paraId="62E0BE4D" w14:textId="77777777" w:rsidR="00C04E53" w:rsidRPr="00971BC0" w:rsidRDefault="00000000">
      <w:pPr>
        <w:spacing w:line="360" w:lineRule="auto"/>
        <w:ind w:firstLineChars="200" w:firstLine="480"/>
        <w:jc w:val="left"/>
        <w:rPr>
          <w:sz w:val="24"/>
          <w:szCs w:val="24"/>
        </w:rPr>
      </w:pPr>
      <w:r>
        <w:rPr>
          <w:rFonts w:hint="eastAsia"/>
          <w:sz w:val="24"/>
          <w:szCs w:val="24"/>
        </w:rPr>
        <w:t>2025</w:t>
      </w:r>
      <w:r>
        <w:rPr>
          <w:rFonts w:hint="eastAsia"/>
          <w:sz w:val="24"/>
          <w:szCs w:val="24"/>
        </w:rPr>
        <w:t>年</w:t>
      </w:r>
      <w:r>
        <w:rPr>
          <w:rFonts w:hint="eastAsia"/>
          <w:sz w:val="24"/>
          <w:szCs w:val="24"/>
        </w:rPr>
        <w:t>11</w:t>
      </w:r>
      <w:r>
        <w:rPr>
          <w:rFonts w:hint="eastAsia"/>
          <w:sz w:val="24"/>
          <w:szCs w:val="24"/>
        </w:rPr>
        <w:t>月</w:t>
      </w:r>
      <w:r>
        <w:rPr>
          <w:rFonts w:hint="eastAsia"/>
          <w:sz w:val="24"/>
          <w:szCs w:val="24"/>
        </w:rPr>
        <w:t>14</w:t>
      </w:r>
      <w:r>
        <w:rPr>
          <w:rFonts w:hint="eastAsia"/>
          <w:sz w:val="24"/>
          <w:szCs w:val="24"/>
        </w:rPr>
        <w:t>日，秘</w:t>
      </w:r>
      <w:r w:rsidRPr="00971BC0">
        <w:rPr>
          <w:rFonts w:hint="eastAsia"/>
          <w:sz w:val="24"/>
          <w:szCs w:val="24"/>
        </w:rPr>
        <w:t>书处组织召开第一次小组研讨会议，</w:t>
      </w:r>
      <w:r w:rsidRPr="00971BC0">
        <w:rPr>
          <w:rFonts w:asciiTheme="minorEastAsia" w:hAnsiTheme="minorEastAsia" w:hint="eastAsia"/>
          <w:sz w:val="24"/>
          <w:szCs w:val="24"/>
        </w:rPr>
        <w:t>会上重点围绕镀银餐用和装饰用器皿的材料、结构、性能等关键技术性条款进行专项研讨</w:t>
      </w:r>
      <w:r w:rsidRPr="00971BC0">
        <w:rPr>
          <w:rFonts w:hint="eastAsia"/>
          <w:sz w:val="24"/>
          <w:szCs w:val="24"/>
        </w:rPr>
        <w:t>，结合行业生产工艺、现有检测能力，对标现有标准，对重要指标逐条敲定，同时明确进一步工作安排。</w:t>
      </w:r>
    </w:p>
    <w:p w14:paraId="62F17D24" w14:textId="77777777" w:rsidR="00C04E53" w:rsidRDefault="00000000">
      <w:pPr>
        <w:spacing w:line="360" w:lineRule="auto"/>
        <w:ind w:firstLineChars="200" w:firstLine="480"/>
        <w:jc w:val="left"/>
        <w:rPr>
          <w:rFonts w:asciiTheme="minorEastAsia" w:hAnsiTheme="minorEastAsia" w:hint="eastAsia"/>
          <w:sz w:val="24"/>
          <w:szCs w:val="24"/>
        </w:rPr>
      </w:pPr>
      <w:r w:rsidRPr="00971BC0">
        <w:rPr>
          <w:rFonts w:hint="eastAsia"/>
          <w:sz w:val="24"/>
          <w:szCs w:val="24"/>
        </w:rPr>
        <w:t>2026</w:t>
      </w:r>
      <w:r w:rsidRPr="00971BC0">
        <w:rPr>
          <w:rFonts w:hint="eastAsia"/>
          <w:sz w:val="24"/>
          <w:szCs w:val="24"/>
        </w:rPr>
        <w:t>年</w:t>
      </w:r>
      <w:r w:rsidRPr="00971BC0">
        <w:rPr>
          <w:rFonts w:hint="eastAsia"/>
          <w:sz w:val="24"/>
          <w:szCs w:val="24"/>
        </w:rPr>
        <w:t>2</w:t>
      </w:r>
      <w:r w:rsidRPr="00971BC0">
        <w:rPr>
          <w:rFonts w:hint="eastAsia"/>
          <w:sz w:val="24"/>
          <w:szCs w:val="24"/>
        </w:rPr>
        <w:t>月</w:t>
      </w:r>
      <w:r w:rsidRPr="00971BC0">
        <w:rPr>
          <w:rFonts w:hint="eastAsia"/>
          <w:sz w:val="24"/>
          <w:szCs w:val="24"/>
        </w:rPr>
        <w:t>10</w:t>
      </w:r>
      <w:r w:rsidRPr="00971BC0">
        <w:rPr>
          <w:rFonts w:hint="eastAsia"/>
          <w:sz w:val="24"/>
          <w:szCs w:val="24"/>
        </w:rPr>
        <w:t>日，秘书处组织召开第二次小组研讨会议，对照</w:t>
      </w:r>
      <w:r w:rsidRPr="00971BC0">
        <w:rPr>
          <w:rFonts w:hint="eastAsia"/>
          <w:sz w:val="24"/>
          <w:szCs w:val="24"/>
        </w:rPr>
        <w:t>GB/T 1.1</w:t>
      </w:r>
      <w:r w:rsidRPr="00971BC0">
        <w:rPr>
          <w:rFonts w:hint="eastAsia"/>
          <w:sz w:val="24"/>
          <w:szCs w:val="24"/>
        </w:rPr>
        <w:t>、</w:t>
      </w:r>
      <w:r w:rsidRPr="00971BC0">
        <w:rPr>
          <w:rFonts w:hint="eastAsia"/>
          <w:sz w:val="24"/>
          <w:szCs w:val="24"/>
        </w:rPr>
        <w:t>GB/T 1.2</w:t>
      </w:r>
      <w:r w:rsidRPr="00971BC0">
        <w:rPr>
          <w:rFonts w:hint="eastAsia"/>
          <w:sz w:val="24"/>
          <w:szCs w:val="24"/>
        </w:rPr>
        <w:t>相关要求，重点开展全面梳理国际标准章节结构、</w:t>
      </w:r>
      <w:r>
        <w:rPr>
          <w:rFonts w:hint="eastAsia"/>
          <w:sz w:val="24"/>
          <w:szCs w:val="24"/>
        </w:rPr>
        <w:t>技术内容，严格遵循等同采用国家标准编制规则，逐一核查规范性引用文件版本有效性，对已废止、被替代的注日期国际标准进行甄别梳理，确定引用文件更新替换方案。统一国际标准转化编辑性修改原则、文本格式及表述规范，整改文本表述不严谨、国内外条款不协调等问题，整合完善标准草案内容。</w:t>
      </w:r>
    </w:p>
    <w:p w14:paraId="655AC0DE"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2026年3月23日-24日，全国金属餐饮及烹饪器具标准化技术委员会（TC410）组织在辽宁省沈阳市召开了第一次工作会议。会议由TC410单智华秘书长主持，她着重介绍了制定该项国家标准的工作程序，及召开本次会议的背景、任务来源，并提出对本次制定《餐具和餐桌用凹形器具 第3部分：镀银餐用和装饰用器皿技术要求》推荐性国家标准的指导思想、起草原则、及对起草小组的工作要求。她强调，在制定该项标准的过程中，要有全局意识，立足在行业、消费者的角度考虑问题，有责任心和使命感。同时还要注意保证与相关标准体系的协调性，充</w:t>
      </w:r>
      <w:r>
        <w:rPr>
          <w:rFonts w:asciiTheme="minorEastAsia" w:hAnsiTheme="minorEastAsia" w:hint="eastAsia"/>
          <w:sz w:val="24"/>
          <w:szCs w:val="24"/>
        </w:rPr>
        <w:lastRenderedPageBreak/>
        <w:t>分考虑国内行业发展实际情况。共7家单位19名代表参加了会议，与会代表讨论确定了标准的主要制定条款、制定原则和核心指标，以及验证项目。</w:t>
      </w:r>
    </w:p>
    <w:p w14:paraId="65A5E8FA"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全体起草组专家代表对标准草案进行了逐条、逐句的认真研究与讨论，对</w:t>
      </w:r>
      <w:r>
        <w:rPr>
          <w:rFonts w:ascii="宋体" w:eastAsia="宋体" w:hAnsi="宋体" w:cs="宋体" w:hint="eastAsia"/>
          <w:sz w:val="24"/>
          <w:szCs w:val="24"/>
        </w:rPr>
        <w:t>标准草案的相关内容提出了建设性的意见和建议，</w:t>
      </w:r>
      <w:r>
        <w:rPr>
          <w:rFonts w:asciiTheme="minorEastAsia" w:hAnsiTheme="minorEastAsia" w:hint="eastAsia"/>
          <w:sz w:val="24"/>
          <w:szCs w:val="24"/>
        </w:rPr>
        <w:t>对以下修改方案达成共识：</w:t>
      </w:r>
    </w:p>
    <w:p w14:paraId="28E7A0FA" w14:textId="77777777" w:rsidR="00C04E53" w:rsidRDefault="00000000">
      <w:pPr>
        <w:pStyle w:val="af3"/>
        <w:numPr>
          <w:ilvl w:val="0"/>
          <w:numId w:val="5"/>
        </w:numPr>
        <w:spacing w:line="480" w:lineRule="exact"/>
        <w:ind w:firstLineChars="0"/>
        <w:rPr>
          <w:rFonts w:asciiTheme="minorEastAsia" w:hAnsiTheme="minorEastAsia" w:hint="eastAsia"/>
          <w:sz w:val="24"/>
          <w:szCs w:val="24"/>
        </w:rPr>
      </w:pPr>
      <w:r>
        <w:rPr>
          <w:rFonts w:asciiTheme="minorEastAsia" w:hAnsiTheme="minorEastAsia" w:hint="eastAsia"/>
          <w:sz w:val="24"/>
          <w:szCs w:val="24"/>
        </w:rPr>
        <w:t>根据GB/T 1.1和GB/T 1.2要求修改了“前言”。</w:t>
      </w:r>
    </w:p>
    <w:p w14:paraId="59176EB6"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2、修改了3.5“附件”的定义 。</w:t>
      </w:r>
    </w:p>
    <w:p w14:paraId="72FF186D"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3、修改了3.11的定义名称，改为“凹变”。</w:t>
      </w:r>
    </w:p>
    <w:p w14:paraId="3F590569"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4、修改了5.2.3的表述，改为“组件之间的间隙不应超过0.4mm,与空心结构连接处应密封、不渗水，除非有特殊要求。”</w:t>
      </w:r>
    </w:p>
    <w:p w14:paraId="553151B4" w14:textId="77777777" w:rsidR="00C04E53" w:rsidRDefault="00000000">
      <w:pPr>
        <w:spacing w:line="360" w:lineRule="auto"/>
        <w:ind w:left="480"/>
      </w:pPr>
      <w:r>
        <w:rPr>
          <w:rFonts w:asciiTheme="minorEastAsia" w:hAnsiTheme="minorEastAsia" w:hint="eastAsia"/>
          <w:sz w:val="24"/>
          <w:szCs w:val="24"/>
        </w:rPr>
        <w:t>5、修改了5.3.1的“注”的内容。改为“</w:t>
      </w:r>
      <w:r>
        <w:rPr>
          <w:rFonts w:hint="eastAsia"/>
        </w:rPr>
        <w:t>注：试验方法正在制定。</w:t>
      </w:r>
      <w:r>
        <w:rPr>
          <w:rFonts w:asciiTheme="minorEastAsia" w:hAnsiTheme="minorEastAsia" w:hint="eastAsia"/>
          <w:sz w:val="24"/>
          <w:szCs w:val="24"/>
        </w:rPr>
        <w:t>”</w:t>
      </w:r>
    </w:p>
    <w:p w14:paraId="601847F2"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6、修改了6.4的条款名称，改为“倒水”</w:t>
      </w:r>
    </w:p>
    <w:p w14:paraId="1E8CFBCA" w14:textId="77777777" w:rsidR="00C04E53" w:rsidRDefault="00000000">
      <w:pPr>
        <w:spacing w:line="480" w:lineRule="exact"/>
        <w:ind w:firstLineChars="200" w:firstLine="480"/>
        <w:rPr>
          <w:rFonts w:asciiTheme="minorEastAsia" w:hAnsiTheme="minorEastAsia" w:hint="eastAsia"/>
          <w:w w:val="90"/>
          <w:sz w:val="24"/>
          <w:szCs w:val="24"/>
        </w:rPr>
      </w:pPr>
      <w:r>
        <w:rPr>
          <w:rFonts w:asciiTheme="minorEastAsia" w:hAnsiTheme="minorEastAsia" w:hint="eastAsia"/>
          <w:sz w:val="24"/>
          <w:szCs w:val="24"/>
        </w:rPr>
        <w:t>7、</w:t>
      </w:r>
      <w:r>
        <w:rPr>
          <w:rFonts w:asciiTheme="minorEastAsia" w:hAnsiTheme="minorEastAsia" w:hint="eastAsia"/>
          <w:w w:val="90"/>
          <w:sz w:val="24"/>
          <w:szCs w:val="24"/>
        </w:rPr>
        <w:t>修改了6.5“用于绝缘金属把手：50℃”，改为“隔热金属材料制成的手柄：50℃”</w:t>
      </w:r>
    </w:p>
    <w:p w14:paraId="21A424F0" w14:textId="77777777" w:rsidR="00C04E53"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8、修改了6.6,6.7中“热/淬火试验”，改为“耐热骤冷试验”。</w:t>
      </w:r>
    </w:p>
    <w:p w14:paraId="3129D9A3" w14:textId="77777777" w:rsidR="00C04E53" w:rsidRDefault="00000000">
      <w:pPr>
        <w:spacing w:line="480" w:lineRule="exact"/>
        <w:ind w:firstLineChars="200" w:firstLine="480"/>
        <w:rPr>
          <w:color w:val="000000"/>
          <w:sz w:val="24"/>
        </w:rPr>
      </w:pPr>
      <w:r>
        <w:rPr>
          <w:rFonts w:asciiTheme="minorEastAsia" w:hAnsiTheme="minorEastAsia" w:hint="eastAsia"/>
          <w:sz w:val="24"/>
          <w:szCs w:val="24"/>
        </w:rPr>
        <w:t>会后，起草小组对标准稿进行了编辑修改，形成了《餐具和餐桌用凹形器具 第3部分：镀银餐用和装饰用器皿技术要求》国家标准征求意见稿，2026年4月28日经标准负责起草单位审核后，报全国金属餐饮及烹饪器具标准化技术委员会秘书处。</w:t>
      </w:r>
    </w:p>
    <w:p w14:paraId="2D8F22E0" w14:textId="77777777" w:rsidR="00C04E53"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二、标准编制原则和主要内容</w:t>
      </w:r>
    </w:p>
    <w:p w14:paraId="6739AAFD" w14:textId="77777777" w:rsidR="00C04E53"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1、标准编制原则</w:t>
      </w:r>
    </w:p>
    <w:p w14:paraId="2A618DEB"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1）本标准的制定根据《中华人民共和国标准化法》及有关法规、规章，按</w:t>
      </w:r>
      <w:r>
        <w:rPr>
          <w:rFonts w:ascii="宋体" w:eastAsia="宋体" w:hAnsi="宋体" w:cs="宋体" w:hint="eastAsia"/>
          <w:sz w:val="24"/>
          <w:szCs w:val="24"/>
        </w:rPr>
        <w:t>GB/T 1.1―2020《标准化工作导则  第1部分：标准化文件的结构和起草规则》</w:t>
      </w:r>
      <w:r>
        <w:rPr>
          <w:rFonts w:ascii="宋体" w:eastAsia="宋体" w:hAnsi="宋体" w:cs="宋体" w:hint="eastAsia"/>
          <w:color w:val="000000"/>
          <w:sz w:val="24"/>
        </w:rPr>
        <w:t>的要求进行编写。</w:t>
      </w:r>
    </w:p>
    <w:p w14:paraId="7B8E3A5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2）根据TC410对起草小组提出的要求：以高度责任感、使命感，认真、科学、严谨的态度来完成这次标准制定工作，使标准要体现先进性、经济性、适用性、前瞻性。</w:t>
      </w:r>
    </w:p>
    <w:p w14:paraId="1A6066B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3）本标准一律采用国家法定计量单位。</w:t>
      </w:r>
    </w:p>
    <w:p w14:paraId="7F50FE9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4）有些条款和试验方法通过试验验证，同时考虑到国内各检验部门及生产企业的实际情况，尽量采用相近的国家标准和行业标准的试验方法，确保了标准</w:t>
      </w:r>
      <w:r>
        <w:rPr>
          <w:rFonts w:ascii="宋体" w:eastAsia="宋体" w:hAnsi="宋体" w:cs="宋体" w:hint="eastAsia"/>
          <w:color w:val="000000"/>
          <w:sz w:val="24"/>
        </w:rPr>
        <w:lastRenderedPageBreak/>
        <w:t>的可操作性。</w:t>
      </w:r>
    </w:p>
    <w:p w14:paraId="61443368"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5）本标准的构成部分</w:t>
      </w:r>
    </w:p>
    <w:p w14:paraId="1075187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本标准编写的格式根据国家标准化工作原则确定如下： 封面；目次；前言；范围；规范性引用文件；术语和定义；材料；结构；性能要求；标志与标签、附录。</w:t>
      </w:r>
    </w:p>
    <w:p w14:paraId="773948FA" w14:textId="77777777" w:rsidR="00C04E53"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2、主要内容的说明</w:t>
      </w:r>
    </w:p>
    <w:p w14:paraId="6BB1894B" w14:textId="77777777" w:rsidR="00C04E53" w:rsidRDefault="00000000">
      <w:pPr>
        <w:spacing w:before="100" w:beforeAutospacing="1" w:afterLines="50" w:after="156" w:line="360" w:lineRule="auto"/>
        <w:ind w:firstLineChars="200" w:firstLine="480"/>
        <w:jc w:val="left"/>
        <w:rPr>
          <w:rFonts w:ascii="宋体" w:eastAsia="宋体" w:hAnsi="宋体" w:hint="eastAsia"/>
          <w:kern w:val="0"/>
          <w:sz w:val="24"/>
        </w:rPr>
      </w:pPr>
      <w:r>
        <w:rPr>
          <w:rFonts w:ascii="宋体" w:eastAsia="宋体" w:hAnsi="宋体" w:hint="eastAsia"/>
          <w:kern w:val="0"/>
          <w:sz w:val="24"/>
        </w:rPr>
        <w:t>1）前言</w:t>
      </w:r>
    </w:p>
    <w:p w14:paraId="14ECE06F"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删除了</w:t>
      </w:r>
      <w:r>
        <w:rPr>
          <w:rFonts w:ascii="宋体" w:eastAsia="宋体" w:hAnsi="宋体" w:hint="eastAsia"/>
          <w:sz w:val="24"/>
          <w:szCs w:val="24"/>
        </w:rPr>
        <w:t>ISO 8442-3:1997</w:t>
      </w:r>
      <w:r>
        <w:rPr>
          <w:rFonts w:ascii="宋体" w:eastAsia="宋体" w:hAnsi="宋体"/>
          <w:sz w:val="24"/>
          <w:szCs w:val="24"/>
        </w:rPr>
        <w:t>的前言部分</w:t>
      </w:r>
      <w:r>
        <w:rPr>
          <w:rFonts w:ascii="宋体" w:eastAsia="宋体" w:hAnsi="宋体" w:hint="eastAsia"/>
          <w:sz w:val="24"/>
          <w:szCs w:val="24"/>
        </w:rPr>
        <w:t>;修改了规范性引用的国际标准，以等同采用的国家标准代替。前言部分中增加了ISO8442</w:t>
      </w:r>
      <w:r>
        <w:rPr>
          <w:rFonts w:ascii="宋体" w:eastAsia="宋体" w:hAnsi="宋体"/>
          <w:sz w:val="24"/>
          <w:szCs w:val="24"/>
        </w:rPr>
        <w:t>标准的组成部分</w:t>
      </w:r>
      <w:r>
        <w:rPr>
          <w:rFonts w:ascii="宋体" w:eastAsia="宋体" w:hAnsi="宋体" w:hint="eastAsia"/>
          <w:sz w:val="24"/>
          <w:szCs w:val="24"/>
        </w:rPr>
        <w:t>：</w:t>
      </w:r>
    </w:p>
    <w:p w14:paraId="5E6AC23D" w14:textId="77777777" w:rsidR="00C04E53" w:rsidRDefault="00000000">
      <w:pPr>
        <w:spacing w:line="360" w:lineRule="auto"/>
        <w:jc w:val="left"/>
        <w:rPr>
          <w:rFonts w:ascii="宋体" w:eastAsia="宋体" w:hAnsi="宋体" w:hint="eastAsia"/>
          <w:sz w:val="24"/>
          <w:szCs w:val="24"/>
        </w:rPr>
      </w:pPr>
      <w:r>
        <w:rPr>
          <w:rFonts w:ascii="宋体" w:eastAsia="宋体" w:hAnsi="宋体" w:hint="eastAsia"/>
          <w:sz w:val="24"/>
          <w:szCs w:val="24"/>
        </w:rPr>
        <w:t>ISO 8442由以下部分组成，总标题为：接触食物的制品及材料—餐具和餐桌用器皿。</w:t>
      </w:r>
    </w:p>
    <w:p w14:paraId="40AA75AD"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ISO 8442包括以下部分：</w:t>
      </w:r>
    </w:p>
    <w:p w14:paraId="66714DAE"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—第1部分：食品制备用刀具技术要求</w:t>
      </w:r>
    </w:p>
    <w:p w14:paraId="23BDF244"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—第2部分：不锈钢和镀银餐具技术要求</w:t>
      </w:r>
    </w:p>
    <w:p w14:paraId="4903DD50"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—第3部门：镀银餐用和装饰用器皿技术要求</w:t>
      </w:r>
    </w:p>
    <w:p w14:paraId="344E3243"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—第4部分：镀金餐具技术要求</w:t>
      </w:r>
    </w:p>
    <w:p w14:paraId="36EAF2E8"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—第5部分：刀具锋利度和耐用度测试方法</w:t>
      </w:r>
    </w:p>
    <w:p w14:paraId="6E757B74"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—第6部分：漆保护轻微镀银餐桌用器皿</w:t>
      </w:r>
    </w:p>
    <w:p w14:paraId="2C0E14CB"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—第7部分：银、其他贵金属及其合金制成的餐桌餐具技术要求</w:t>
      </w:r>
    </w:p>
    <w:p w14:paraId="334068C5"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—第8部分：银制餐用及装饰用器皿技术要求</w:t>
      </w:r>
    </w:p>
    <w:p w14:paraId="490009CF" w14:textId="77777777" w:rsidR="00C04E53"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—第9部分：陶瓷刀的技术要求</w:t>
      </w:r>
    </w:p>
    <w:p w14:paraId="2185258A" w14:textId="77777777" w:rsidR="00C04E53" w:rsidRDefault="00000000">
      <w:pPr>
        <w:spacing w:line="360" w:lineRule="auto"/>
        <w:jc w:val="left"/>
        <w:rPr>
          <w:rFonts w:ascii="宋体" w:eastAsia="宋体" w:hAnsi="宋体" w:hint="eastAsia"/>
          <w:sz w:val="24"/>
          <w:szCs w:val="24"/>
        </w:rPr>
      </w:pPr>
      <w:r>
        <w:rPr>
          <w:rFonts w:ascii="宋体" w:eastAsia="宋体" w:hAnsi="宋体" w:hint="eastAsia"/>
          <w:sz w:val="24"/>
          <w:szCs w:val="24"/>
        </w:rPr>
        <w:t>附录C到附录K作为ISO 8442的规范性内容，附录A和B仅为资料性内容。</w:t>
      </w:r>
    </w:p>
    <w:p w14:paraId="0BFDE2B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1）范围</w:t>
      </w:r>
    </w:p>
    <w:p w14:paraId="25EF808A" w14:textId="77777777" w:rsidR="00C04E53"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p>
    <w:p w14:paraId="702303D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2）规范性引用文件</w:t>
      </w:r>
    </w:p>
    <w:p w14:paraId="0A57943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r>
        <w:rPr>
          <w:rFonts w:ascii="宋体" w:eastAsia="宋体" w:hAnsi="宋体" w:hint="eastAsia"/>
          <w:sz w:val="24"/>
          <w:szCs w:val="24"/>
        </w:rPr>
        <w:t>规范性引用的国际标准，以等同</w:t>
      </w:r>
      <w:r>
        <w:rPr>
          <w:rFonts w:ascii="宋体" w:eastAsia="宋体" w:hAnsi="宋体" w:hint="eastAsia"/>
          <w:sz w:val="24"/>
          <w:szCs w:val="24"/>
        </w:rPr>
        <w:lastRenderedPageBreak/>
        <w:t>采用的国家标准代替。</w:t>
      </w:r>
    </w:p>
    <w:p w14:paraId="5CDEE477"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4955-2005  金属覆盖层 覆盖层厚度测量 阳极溶解库仑法（ISO 2177:2003,IDT）</w:t>
      </w:r>
    </w:p>
    <w:p w14:paraId="6DEF902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6462-2005  金属和氧化物覆盖层厚度测量显微镜法（ISO 1463:2003，IDT）</w:t>
      </w:r>
    </w:p>
    <w:p w14:paraId="1A7B249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15067.1-1994  不锈钢餐具 术语（ISO 4481:1977，IDT）</w:t>
      </w:r>
    </w:p>
    <w:p w14:paraId="013722F4"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16921-2005  金属覆盖层 覆盖层厚度测量 X射线光谱法（ISO 3497:2000,IDT）</w:t>
      </w:r>
    </w:p>
    <w:p w14:paraId="3B448E4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20018-2005  金属与非金属覆盖层 覆盖层厚度测量 β射线背散射法（ISO 3543:2000，IDT）</w:t>
      </w:r>
    </w:p>
    <w:p w14:paraId="501431DC"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3）术语和定义</w:t>
      </w:r>
    </w:p>
    <w:p w14:paraId="31C99CF7" w14:textId="77777777" w:rsidR="00C04E53"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p>
    <w:p w14:paraId="1E97739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15067.1-1994 《不锈钢餐具 术语》、ISO 8442-2：1997《食品接触材料及制品 餐具和餐桌上用凹形器皿 第2部分：不锈钢和镀银餐具技术要求》以及下列术语和定义适用于本文件。</w:t>
      </w:r>
    </w:p>
    <w:p w14:paraId="333B3D9B"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3.1）餐桌用器皿</w:t>
      </w:r>
    </w:p>
    <w:p w14:paraId="02B7288C" w14:textId="77777777" w:rsidR="00C04E53" w:rsidRDefault="00000000">
      <w:pPr>
        <w:spacing w:line="360" w:lineRule="auto"/>
        <w:ind w:firstLineChars="200" w:firstLine="480"/>
        <w:jc w:val="left"/>
        <w:rPr>
          <w:rFonts w:ascii="宋体" w:eastAsia="宋体" w:hAnsi="宋体" w:cs="宋体" w:hint="eastAsia"/>
          <w:color w:val="000000"/>
          <w:sz w:val="24"/>
        </w:rPr>
      </w:pPr>
      <w:bookmarkStart w:id="2" w:name="_Hlk224224839"/>
      <w:r>
        <w:rPr>
          <w:rFonts w:ascii="宋体" w:eastAsia="宋体" w:hAnsi="宋体" w:cs="宋体" w:hint="eastAsia"/>
          <w:color w:val="000000"/>
          <w:sz w:val="24"/>
        </w:rPr>
        <w:t>该类产品一般为凹形，主要用于盛放食品或饮料</w:t>
      </w:r>
      <w:bookmarkEnd w:id="2"/>
      <w:r>
        <w:rPr>
          <w:rFonts w:ascii="宋体" w:eastAsia="宋体" w:hAnsi="宋体" w:cs="宋体" w:hint="eastAsia"/>
          <w:color w:val="000000"/>
          <w:sz w:val="24"/>
        </w:rPr>
        <w:t>（见附录A）。</w:t>
      </w:r>
    </w:p>
    <w:p w14:paraId="479B300A"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3.2）装饰用器皿 </w:t>
      </w:r>
    </w:p>
    <w:p w14:paraId="278EDDC8"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该类产品一般为凹形，但不用于盛放食品或饮料，且包括不具有明显内部表面的器皿。</w:t>
      </w:r>
    </w:p>
    <w:p w14:paraId="2EDF0C96" w14:textId="77777777" w:rsidR="00C04E53" w:rsidRDefault="00000000">
      <w:pPr>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3.3）功能表面 </w:t>
      </w:r>
    </w:p>
    <w:p w14:paraId="3DF2A28B" w14:textId="77777777" w:rsidR="00C04E53" w:rsidRDefault="00000000">
      <w:pPr>
        <w:spacing w:line="360" w:lineRule="auto"/>
        <w:ind w:firstLineChars="200" w:firstLine="480"/>
        <w:jc w:val="left"/>
        <w:rPr>
          <w:rFonts w:ascii="宋体" w:eastAsia="宋体" w:hAnsi="宋体" w:cs="宋体" w:hint="eastAsia"/>
          <w:color w:val="000000"/>
          <w:sz w:val="24"/>
        </w:rPr>
      </w:pPr>
      <w:bookmarkStart w:id="3" w:name="_Hlk224225011"/>
      <w:r>
        <w:rPr>
          <w:rFonts w:ascii="宋体" w:eastAsia="宋体" w:hAnsi="宋体" w:cs="宋体" w:hint="eastAsia"/>
          <w:color w:val="000000"/>
          <w:sz w:val="24"/>
        </w:rPr>
        <w:t>餐桌上用或装饰用凹形器皿或银杯的外部表面，或浅型凹形器皿产品的内部或外部表面。此外，还包括能够产生等效作用的表面。</w:t>
      </w:r>
    </w:p>
    <w:bookmarkEnd w:id="3"/>
    <w:p w14:paraId="2052965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3.4）非功能表面 </w:t>
      </w:r>
    </w:p>
    <w:p w14:paraId="1B5EA4BC"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凹形器皿中仅以美观为目的的镀银表面。例如：咖啡壶的内表面，花瓶的表面或与食品、饮料接触的镀银表面，这些表面在使用过程中应尽量减少磨损。</w:t>
      </w:r>
    </w:p>
    <w:p w14:paraId="18E26FF4"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3.5）附件 </w:t>
      </w:r>
    </w:p>
    <w:p w14:paraId="41EDAB33"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通过焊接</w:t>
      </w:r>
      <w:r>
        <w:rPr>
          <w:rFonts w:ascii="宋体" w:eastAsia="宋体" w:hAnsi="宋体" w:cs="宋体" w:hint="eastAsia"/>
          <w:color w:val="000000"/>
          <w:sz w:val="24"/>
        </w:rPr>
        <w:t>和组装等</w:t>
      </w:r>
      <w:r>
        <w:rPr>
          <w:rFonts w:ascii="宋体" w:eastAsia="宋体" w:hAnsi="宋体" w:cs="宋体"/>
          <w:color w:val="000000"/>
          <w:sz w:val="24"/>
        </w:rPr>
        <w:t>工艺连接</w:t>
      </w:r>
      <w:r>
        <w:rPr>
          <w:rFonts w:ascii="宋体" w:eastAsia="宋体" w:hAnsi="宋体" w:cs="宋体" w:hint="eastAsia"/>
          <w:color w:val="000000"/>
          <w:sz w:val="24"/>
        </w:rPr>
        <w:t>到</w:t>
      </w:r>
      <w:r>
        <w:rPr>
          <w:rFonts w:ascii="宋体" w:eastAsia="宋体" w:hAnsi="宋体" w:cs="宋体"/>
          <w:color w:val="000000"/>
          <w:sz w:val="24"/>
        </w:rPr>
        <w:t>器皿主体的部件，</w:t>
      </w:r>
      <w:r>
        <w:rPr>
          <w:rFonts w:ascii="宋体" w:eastAsia="宋体" w:hAnsi="宋体" w:cs="宋体" w:hint="eastAsia"/>
          <w:color w:val="000000"/>
          <w:sz w:val="24"/>
        </w:rPr>
        <w:t>通常包括手柄、旋钮、支脚、喷嘴、杆和铰链</w:t>
      </w:r>
      <w:r>
        <w:rPr>
          <w:rFonts w:ascii="宋体" w:eastAsia="宋体" w:hAnsi="宋体" w:cs="宋体"/>
          <w:color w:val="000000"/>
          <w:sz w:val="24"/>
        </w:rPr>
        <w:t>等。</w:t>
      </w:r>
    </w:p>
    <w:p w14:paraId="55CD88E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起草小组讨论后将原文中的“</w:t>
      </w:r>
      <w:r>
        <w:rPr>
          <w:rFonts w:ascii="宋体" w:eastAsia="宋体" w:hAnsi="宋体" w:cs="宋体"/>
          <w:color w:val="000000"/>
          <w:sz w:val="24"/>
        </w:rPr>
        <w:t>by a process such as welding, brazing</w:t>
      </w:r>
      <w:r>
        <w:rPr>
          <w:rFonts w:ascii="宋体" w:eastAsia="宋体" w:hAnsi="宋体" w:cs="宋体" w:hint="eastAsia"/>
          <w:color w:val="000000"/>
          <w:sz w:val="24"/>
        </w:rPr>
        <w:t xml:space="preserve"> </w:t>
      </w:r>
      <w:r>
        <w:rPr>
          <w:rFonts w:ascii="宋体" w:eastAsia="宋体" w:hAnsi="宋体" w:cs="宋体"/>
          <w:color w:val="000000"/>
          <w:sz w:val="24"/>
        </w:rPr>
        <w:t>or soldering and comprising</w:t>
      </w:r>
      <w:r>
        <w:rPr>
          <w:rFonts w:ascii="宋体" w:eastAsia="宋体" w:hAnsi="宋体" w:cs="宋体" w:hint="eastAsia"/>
          <w:color w:val="000000"/>
          <w:sz w:val="24"/>
        </w:rPr>
        <w:t>”翻译为“通过焊接和组装工艺”。</w:t>
      </w:r>
    </w:p>
    <w:p w14:paraId="490A3420"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3.6）承重附件 </w:t>
      </w:r>
    </w:p>
    <w:p w14:paraId="277E9588" w14:textId="77777777" w:rsidR="00C04E53" w:rsidRDefault="00000000">
      <w:pPr>
        <w:spacing w:line="360" w:lineRule="auto"/>
        <w:ind w:firstLineChars="200" w:firstLine="480"/>
        <w:jc w:val="left"/>
        <w:rPr>
          <w:rFonts w:ascii="宋体" w:eastAsia="宋体" w:hAnsi="宋体" w:cs="宋体" w:hint="eastAsia"/>
          <w:color w:val="000000"/>
          <w:sz w:val="24"/>
        </w:rPr>
      </w:pPr>
      <w:bookmarkStart w:id="4" w:name="_Hlk224225530"/>
      <w:r>
        <w:rPr>
          <w:rFonts w:ascii="宋体" w:eastAsia="宋体" w:hAnsi="宋体" w:cs="宋体" w:hint="eastAsia"/>
          <w:color w:val="000000"/>
          <w:sz w:val="24"/>
        </w:rPr>
        <w:t>在正常使用条件下，用于承受器皿和或其内容物重量的附件。这些附件包括把手、喷嘴、支脚、底座和高脚杯柄。</w:t>
      </w:r>
    </w:p>
    <w:bookmarkEnd w:id="4"/>
    <w:p w14:paraId="3E3B371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3.7）毛刺  </w:t>
      </w:r>
    </w:p>
    <w:p w14:paraId="00BCEEB5" w14:textId="77777777" w:rsidR="00C04E53" w:rsidRDefault="00000000">
      <w:pPr>
        <w:spacing w:line="360" w:lineRule="auto"/>
        <w:ind w:firstLineChars="200" w:firstLine="480"/>
        <w:jc w:val="left"/>
        <w:rPr>
          <w:rFonts w:ascii="宋体" w:eastAsia="宋体" w:hAnsi="宋体" w:cs="宋体" w:hint="eastAsia"/>
          <w:color w:val="000000"/>
          <w:sz w:val="24"/>
        </w:rPr>
      </w:pPr>
      <w:bookmarkStart w:id="5" w:name="_Hlk224225610"/>
      <w:r>
        <w:rPr>
          <w:rFonts w:ascii="宋体" w:eastAsia="宋体" w:hAnsi="宋体" w:cs="宋体" w:hint="eastAsia"/>
          <w:color w:val="000000"/>
          <w:sz w:val="24"/>
        </w:rPr>
        <w:t>产品上超出形状要求的金属部分，一般是以薄片状出现。</w:t>
      </w:r>
    </w:p>
    <w:bookmarkEnd w:id="5"/>
    <w:p w14:paraId="6B1E5391"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3.8）烤箱用器皿 </w:t>
      </w:r>
    </w:p>
    <w:p w14:paraId="0578DC43"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指适用于温度高于250℃的烤箱中或电炉上的器皿，如：蔬菜盘、肉板、浇汁器皿、带盖汤碗、鱼池盘。</w:t>
      </w:r>
    </w:p>
    <w:p w14:paraId="08A6BBA7" w14:textId="77777777" w:rsidR="00C04E53" w:rsidRDefault="00000000">
      <w:pPr>
        <w:ind w:firstLineChars="200" w:firstLine="480"/>
        <w:rPr>
          <w:rFonts w:ascii="宋体" w:eastAsia="宋体" w:hAnsi="宋体" w:cs="宋体" w:hint="eastAsia"/>
          <w:color w:val="000000"/>
          <w:sz w:val="24"/>
        </w:rPr>
      </w:pPr>
      <w:r>
        <w:rPr>
          <w:rFonts w:ascii="宋体" w:eastAsia="宋体" w:hAnsi="宋体" w:cs="宋体" w:hint="eastAsia"/>
          <w:color w:val="000000"/>
          <w:sz w:val="24"/>
        </w:rPr>
        <w:t>3.9）器皿</w:t>
      </w:r>
    </w:p>
    <w:p w14:paraId="7F79A9D1" w14:textId="77777777" w:rsidR="00C04E53" w:rsidRDefault="00000000">
      <w:pPr>
        <w:ind w:firstLineChars="200" w:firstLine="480"/>
        <w:rPr>
          <w:rFonts w:ascii="宋体" w:eastAsia="宋体" w:hAnsi="宋体" w:cs="宋体" w:hint="eastAsia"/>
          <w:color w:val="000000"/>
          <w:sz w:val="24"/>
        </w:rPr>
      </w:pPr>
      <w:bookmarkStart w:id="6" w:name="_Hlk224225751"/>
      <w:r>
        <w:rPr>
          <w:rFonts w:ascii="宋体" w:eastAsia="宋体" w:hAnsi="宋体" w:cs="宋体" w:hint="eastAsia"/>
          <w:color w:val="000000"/>
          <w:sz w:val="24"/>
        </w:rPr>
        <w:t>用于盛装食品和/或饮料的凹形器皿的统称。</w:t>
      </w:r>
      <w:bookmarkEnd w:id="6"/>
    </w:p>
    <w:p w14:paraId="7974A0F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3.10）有效容量 </w:t>
      </w:r>
    </w:p>
    <w:p w14:paraId="0A4F650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按要求注入容器至其上口边缘下方15</w:t>
      </w:r>
      <w:r>
        <w:rPr>
          <w:rFonts w:ascii="宋体" w:eastAsia="宋体" w:hAnsi="宋体" w:cs="宋体"/>
          <w:color w:val="000000"/>
          <w:sz w:val="24"/>
        </w:rPr>
        <w:t>mm</w:t>
      </w:r>
      <w:r>
        <w:rPr>
          <w:rFonts w:ascii="宋体" w:eastAsia="宋体" w:hAnsi="宋体" w:cs="宋体" w:hint="eastAsia"/>
          <w:color w:val="000000"/>
          <w:sz w:val="24"/>
        </w:rPr>
        <w:t>±</w:t>
      </w:r>
      <w:r>
        <w:rPr>
          <w:rFonts w:ascii="宋体" w:eastAsia="宋体" w:hAnsi="宋体" w:cs="宋体"/>
          <w:color w:val="000000"/>
          <w:sz w:val="24"/>
        </w:rPr>
        <w:t>1mm</w:t>
      </w:r>
      <w:r>
        <w:rPr>
          <w:rFonts w:ascii="宋体" w:eastAsia="宋体" w:hAnsi="宋体" w:cs="宋体" w:hint="eastAsia"/>
          <w:color w:val="000000"/>
          <w:sz w:val="24"/>
        </w:rPr>
        <w:t>的位置时的液体体积。</w:t>
      </w:r>
    </w:p>
    <w:p w14:paraId="22E32318"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3.11）凹变  </w:t>
      </w:r>
    </w:p>
    <w:p w14:paraId="7EC624FC" w14:textId="77777777" w:rsidR="00C04E53" w:rsidRDefault="00000000">
      <w:pPr>
        <w:spacing w:line="360" w:lineRule="auto"/>
        <w:ind w:firstLineChars="200" w:firstLine="480"/>
        <w:jc w:val="left"/>
        <w:rPr>
          <w:rFonts w:ascii="宋体" w:eastAsia="宋体" w:hAnsi="宋体" w:cs="宋体" w:hint="eastAsia"/>
          <w:color w:val="000000"/>
          <w:sz w:val="24"/>
        </w:rPr>
      </w:pPr>
      <w:bookmarkStart w:id="7" w:name="_Hlk224225994"/>
      <w:r>
        <w:rPr>
          <w:rFonts w:ascii="宋体" w:eastAsia="宋体" w:hAnsi="宋体" w:cs="宋体" w:hint="eastAsia"/>
          <w:color w:val="000000"/>
          <w:sz w:val="24"/>
        </w:rPr>
        <w:t>当用一负载施加到器皿凸边时，凹形器皿的外表面从凸面转变为凹面，通常都伴有明显的的响声。</w:t>
      </w:r>
    </w:p>
    <w:bookmarkEnd w:id="7"/>
    <w:p w14:paraId="1285CC83"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起草小组讨论后认为原文中的“popping”翻译为“凹变”更合理。</w:t>
      </w:r>
    </w:p>
    <w:p w14:paraId="320385E6"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3.12）正常矫正视力 </w:t>
      </w:r>
    </w:p>
    <w:p w14:paraId="4C3486E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如果需要的话，将裸眼视力矫正到正常水平。</w:t>
      </w:r>
    </w:p>
    <w:p w14:paraId="1627DDD4"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注：通常通过佩戴眼镜来矫正视力。</w:t>
      </w:r>
    </w:p>
    <w:p w14:paraId="1275D14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 材料</w:t>
      </w:r>
    </w:p>
    <w:p w14:paraId="4CEB5528" w14:textId="77777777" w:rsidR="00C04E53"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r>
        <w:rPr>
          <w:rFonts w:hint="eastAsia"/>
          <w:color w:val="000000"/>
          <w:sz w:val="24"/>
        </w:rPr>
        <w:t xml:space="preserve"> 4  </w:t>
      </w:r>
      <w:r>
        <w:rPr>
          <w:rFonts w:hint="eastAsia"/>
          <w:color w:val="000000"/>
          <w:sz w:val="24"/>
        </w:rPr>
        <w:t>材料。</w:t>
      </w:r>
    </w:p>
    <w:p w14:paraId="7B2EC5BB"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保留了表1中的角注</w:t>
      </w:r>
      <w:r>
        <w:rPr>
          <w:rFonts w:ascii="宋体" w:eastAsia="宋体" w:hAnsi="宋体" w:cs="宋体" w:hint="eastAsia"/>
          <w:color w:val="000000"/>
          <w:sz w:val="24"/>
          <w:vertAlign w:val="superscript"/>
        </w:rPr>
        <w:t>1）</w:t>
      </w:r>
      <w:r>
        <w:rPr>
          <w:rFonts w:ascii="宋体" w:eastAsia="宋体" w:hAnsi="宋体" w:cs="宋体" w:hint="eastAsia"/>
          <w:color w:val="000000"/>
          <w:sz w:val="24"/>
        </w:rPr>
        <w:t>、</w:t>
      </w:r>
      <w:r>
        <w:rPr>
          <w:rFonts w:ascii="宋体" w:eastAsia="宋体" w:hAnsi="宋体" w:cs="宋体" w:hint="eastAsia"/>
          <w:color w:val="000000"/>
          <w:sz w:val="24"/>
          <w:vertAlign w:val="superscript"/>
        </w:rPr>
        <w:t>2）</w:t>
      </w:r>
      <w:r>
        <w:rPr>
          <w:rFonts w:ascii="宋体" w:eastAsia="宋体" w:hAnsi="宋体" w:cs="宋体" w:hint="eastAsia"/>
          <w:color w:val="000000"/>
          <w:sz w:val="24"/>
        </w:rPr>
        <w:t>。</w:t>
      </w:r>
    </w:p>
    <w:p w14:paraId="4C648DD8"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vertAlign w:val="superscript"/>
        </w:rPr>
        <w:t>1）</w:t>
      </w:r>
      <w:r>
        <w:rPr>
          <w:rFonts w:ascii="宋体" w:eastAsia="宋体" w:hAnsi="宋体" w:cs="宋体" w:hint="eastAsia"/>
          <w:color w:val="000000"/>
          <w:sz w:val="24"/>
        </w:rPr>
        <w:t>更多化学成分信息见 EN 10088-1 标准。</w:t>
      </w:r>
    </w:p>
    <w:p w14:paraId="48A27B7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vertAlign w:val="superscript"/>
        </w:rPr>
        <w:t>2）</w:t>
      </w:r>
      <w:r>
        <w:rPr>
          <w:rFonts w:ascii="宋体" w:eastAsia="宋体" w:hAnsi="宋体" w:cs="宋体" w:hint="eastAsia"/>
          <w:color w:val="000000"/>
          <w:sz w:val="24"/>
        </w:rPr>
        <w:t>仅适用于不与食品接触的附件。</w:t>
      </w:r>
    </w:p>
    <w:p w14:paraId="1C68A3C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5）结构</w:t>
      </w:r>
    </w:p>
    <w:p w14:paraId="75601807"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5.1 镀银</w:t>
      </w:r>
    </w:p>
    <w:p w14:paraId="0286C5B9" w14:textId="77777777" w:rsidR="00C04E53"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lastRenderedPageBreak/>
        <w:t>第</w:t>
      </w:r>
      <w:r>
        <w:rPr>
          <w:rFonts w:hint="eastAsia"/>
          <w:color w:val="000000"/>
          <w:sz w:val="24"/>
        </w:rPr>
        <w:t>3</w:t>
      </w:r>
      <w:r>
        <w:rPr>
          <w:rFonts w:hint="eastAsia"/>
          <w:color w:val="000000"/>
          <w:sz w:val="24"/>
        </w:rPr>
        <w:t>部分：镀银餐用和装饰用器皿技术要求》</w:t>
      </w:r>
      <w:r>
        <w:rPr>
          <w:rFonts w:hint="eastAsia"/>
          <w:color w:val="000000"/>
          <w:sz w:val="24"/>
        </w:rPr>
        <w:t xml:space="preserve"> 5.1  </w:t>
      </w:r>
      <w:r>
        <w:rPr>
          <w:rFonts w:hint="eastAsia"/>
          <w:color w:val="000000"/>
          <w:sz w:val="24"/>
        </w:rPr>
        <w:t>镀银。</w:t>
      </w:r>
    </w:p>
    <w:p w14:paraId="075C0362" w14:textId="77777777" w:rsidR="00C04E53" w:rsidRDefault="00000000">
      <w:pPr>
        <w:spacing w:line="360" w:lineRule="auto"/>
        <w:ind w:firstLineChars="200" w:firstLine="480"/>
        <w:jc w:val="left"/>
        <w:rPr>
          <w:color w:val="000000"/>
          <w:sz w:val="24"/>
        </w:rPr>
      </w:pPr>
      <w:r>
        <w:rPr>
          <w:rFonts w:hint="eastAsia"/>
          <w:color w:val="000000"/>
          <w:sz w:val="24"/>
        </w:rPr>
        <w:t>5.1.3</w:t>
      </w:r>
      <w:r>
        <w:rPr>
          <w:rFonts w:hint="eastAsia"/>
          <w:color w:val="000000"/>
          <w:sz w:val="24"/>
        </w:rPr>
        <w:t>条款中的</w:t>
      </w:r>
      <w:r>
        <w:rPr>
          <w:rFonts w:hint="eastAsia"/>
          <w:color w:val="000000"/>
          <w:sz w:val="24"/>
        </w:rPr>
        <w:t>ISO</w:t>
      </w:r>
      <w:r>
        <w:rPr>
          <w:rFonts w:hint="eastAsia"/>
          <w:color w:val="000000"/>
          <w:sz w:val="24"/>
        </w:rPr>
        <w:t>标准替换成了等同转化后的国家标准。改为了“最小局部厚度应按照</w:t>
      </w:r>
      <w:r>
        <w:rPr>
          <w:rFonts w:hint="eastAsia"/>
          <w:color w:val="000000"/>
          <w:sz w:val="24"/>
        </w:rPr>
        <w:t>GB/T 4955,GB/T6462,GB/T16921</w:t>
      </w:r>
      <w:r>
        <w:rPr>
          <w:rFonts w:hint="eastAsia"/>
          <w:color w:val="000000"/>
          <w:sz w:val="24"/>
        </w:rPr>
        <w:t>或者</w:t>
      </w:r>
      <w:r>
        <w:rPr>
          <w:rFonts w:hint="eastAsia"/>
          <w:color w:val="000000"/>
          <w:sz w:val="24"/>
        </w:rPr>
        <w:t>GB/T 20018</w:t>
      </w:r>
      <w:r>
        <w:rPr>
          <w:rFonts w:hint="eastAsia"/>
          <w:color w:val="000000"/>
          <w:sz w:val="24"/>
        </w:rPr>
        <w:t>中规定的任一方法进行测量。若存在争议，厚度应按照</w:t>
      </w:r>
      <w:r>
        <w:rPr>
          <w:rFonts w:hint="eastAsia"/>
          <w:color w:val="000000"/>
          <w:sz w:val="24"/>
        </w:rPr>
        <w:t>GB/T6462</w:t>
      </w:r>
      <w:r>
        <w:rPr>
          <w:rFonts w:hint="eastAsia"/>
          <w:color w:val="000000"/>
          <w:sz w:val="24"/>
        </w:rPr>
        <w:t>中所述方法进行测量。”</w:t>
      </w:r>
    </w:p>
    <w:p w14:paraId="6FFA6A6B"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5.2）通用性要求及应避免缺陷</w:t>
      </w:r>
    </w:p>
    <w:p w14:paraId="74D174F5" w14:textId="77777777" w:rsidR="00C04E53"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r>
        <w:rPr>
          <w:rFonts w:hint="eastAsia"/>
          <w:color w:val="000000"/>
          <w:sz w:val="24"/>
        </w:rPr>
        <w:t xml:space="preserve"> 5.2</w:t>
      </w:r>
      <w:r>
        <w:rPr>
          <w:rFonts w:hint="eastAsia"/>
          <w:color w:val="000000"/>
          <w:sz w:val="24"/>
        </w:rPr>
        <w:t>。</w:t>
      </w:r>
    </w:p>
    <w:p w14:paraId="2280D3D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Uniformity and absence of defects</w:t>
      </w:r>
      <w:r>
        <w:rPr>
          <w:rFonts w:ascii="宋体" w:eastAsia="宋体" w:hAnsi="宋体" w:cs="宋体" w:hint="eastAsia"/>
          <w:color w:val="000000"/>
          <w:sz w:val="24"/>
        </w:rPr>
        <w:t>”翻译为“通用性要求及应避免缺陷”。</w:t>
      </w:r>
    </w:p>
    <w:p w14:paraId="434C9EAD"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5.2.3 原文中的“</w:t>
      </w:r>
      <w:r>
        <w:rPr>
          <w:rFonts w:ascii="宋体" w:eastAsia="宋体" w:hAnsi="宋体" w:cs="宋体"/>
          <w:color w:val="000000"/>
          <w:sz w:val="24"/>
        </w:rPr>
        <w:t>There shall be no gaps in excess of 0,4 mm between components and seams joining hollowsections together shall be watertight unless required by the design.</w:t>
      </w:r>
      <w:r>
        <w:rPr>
          <w:rFonts w:ascii="宋体" w:eastAsia="宋体" w:hAnsi="宋体" w:cs="宋体" w:hint="eastAsia"/>
          <w:color w:val="000000"/>
          <w:sz w:val="24"/>
        </w:rPr>
        <w:t>”翻译为“组件之间的间隙不应超过0.4mm</w:t>
      </w:r>
      <w:bookmarkStart w:id="8" w:name="_Hlk224226194"/>
      <w:r>
        <w:rPr>
          <w:rFonts w:ascii="宋体" w:eastAsia="宋体" w:hAnsi="宋体" w:cs="宋体" w:hint="eastAsia"/>
          <w:color w:val="000000"/>
          <w:sz w:val="24"/>
        </w:rPr>
        <w:t>；</w:t>
      </w:r>
      <w:bookmarkStart w:id="9" w:name="OLE_LINK1"/>
      <w:r>
        <w:rPr>
          <w:rFonts w:ascii="宋体" w:eastAsia="宋体" w:hAnsi="宋体" w:cs="宋体" w:hint="eastAsia"/>
          <w:color w:val="000000"/>
          <w:sz w:val="24"/>
        </w:rPr>
        <w:t>与空心结构的连接处应密封</w:t>
      </w:r>
      <w:bookmarkEnd w:id="9"/>
      <w:r>
        <w:rPr>
          <w:rFonts w:ascii="宋体" w:eastAsia="宋体" w:hAnsi="宋体" w:cs="宋体" w:hint="eastAsia"/>
          <w:color w:val="000000"/>
          <w:sz w:val="24"/>
        </w:rPr>
        <w:t>不渗水，除非有特殊要求。</w:t>
      </w:r>
      <w:bookmarkEnd w:id="8"/>
      <w:r>
        <w:rPr>
          <w:rFonts w:ascii="宋体" w:eastAsia="宋体" w:hAnsi="宋体" w:cs="宋体" w:hint="eastAsia"/>
          <w:color w:val="000000"/>
          <w:sz w:val="24"/>
        </w:rPr>
        <w:t>”</w:t>
      </w:r>
    </w:p>
    <w:p w14:paraId="6D70211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5.3）喷漆产品</w:t>
      </w:r>
    </w:p>
    <w:p w14:paraId="01B1A1A9" w14:textId="77777777" w:rsidR="00C04E53"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r>
        <w:rPr>
          <w:rFonts w:hint="eastAsia"/>
          <w:color w:val="000000"/>
          <w:sz w:val="24"/>
        </w:rPr>
        <w:t xml:space="preserve"> 5.3</w:t>
      </w:r>
      <w:r>
        <w:rPr>
          <w:rFonts w:hint="eastAsia"/>
          <w:color w:val="000000"/>
          <w:sz w:val="24"/>
        </w:rPr>
        <w:t>。</w:t>
      </w:r>
    </w:p>
    <w:p w14:paraId="16937616"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5.3.1 原文中的注“</w:t>
      </w:r>
      <w:r>
        <w:rPr>
          <w:rFonts w:ascii="宋体" w:eastAsia="宋体" w:hAnsi="宋体" w:cs="宋体"/>
          <w:color w:val="000000"/>
          <w:sz w:val="24"/>
        </w:rPr>
        <w:t>A test procedure is being developed.</w:t>
      </w:r>
      <w:r>
        <w:rPr>
          <w:rFonts w:ascii="宋体" w:eastAsia="宋体" w:hAnsi="宋体" w:cs="宋体" w:hint="eastAsia"/>
          <w:color w:val="000000"/>
          <w:sz w:val="24"/>
        </w:rPr>
        <w:t>”翻译为“试验方法正在制定”。</w:t>
      </w:r>
    </w:p>
    <w:p w14:paraId="3225EB7C"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6）性能要求</w:t>
      </w:r>
    </w:p>
    <w:p w14:paraId="73C7B515" w14:textId="77777777" w:rsidR="00C04E53" w:rsidRDefault="00000000">
      <w:pPr>
        <w:spacing w:line="360" w:lineRule="auto"/>
        <w:ind w:firstLineChars="200" w:firstLine="480"/>
        <w:jc w:val="left"/>
        <w:rPr>
          <w:color w:val="000000"/>
          <w:sz w:val="24"/>
        </w:rPr>
      </w:pPr>
      <w:bookmarkStart w:id="10" w:name="_Hlk225774392"/>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bookmarkEnd w:id="10"/>
      <w:r>
        <w:rPr>
          <w:rFonts w:hint="eastAsia"/>
          <w:color w:val="000000"/>
          <w:sz w:val="24"/>
        </w:rPr>
        <w:t xml:space="preserve"> 6 </w:t>
      </w:r>
      <w:r>
        <w:rPr>
          <w:rFonts w:hint="eastAsia"/>
          <w:color w:val="000000"/>
          <w:sz w:val="24"/>
        </w:rPr>
        <w:t>性能要求。</w:t>
      </w:r>
    </w:p>
    <w:p w14:paraId="4F7AD9F1"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6.1.1 </w:t>
      </w:r>
    </w:p>
    <w:p w14:paraId="3707E15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6.1.1 Resistance of rectangular and square trays and dishes to twisting</w:t>
      </w:r>
    </w:p>
    <w:p w14:paraId="445DC5CA"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The temporary deflection of a rectangular or square tray or flat dish exceeding 300 mm at its maximumaxis shall not exceed 3,5 mm in 100 mm deviation from flat in any diagonal across the surface of the</w:t>
      </w:r>
    </w:p>
    <w:p w14:paraId="5C79ACC6"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base when tested in accordance with annex E.</w:t>
      </w:r>
      <w:r>
        <w:rPr>
          <w:rFonts w:ascii="宋体" w:eastAsia="宋体" w:hAnsi="宋体" w:cs="宋体" w:hint="eastAsia"/>
          <w:color w:val="000000"/>
          <w:sz w:val="24"/>
        </w:rPr>
        <w:t>”</w:t>
      </w:r>
    </w:p>
    <w:p w14:paraId="42E61254" w14:textId="77777777" w:rsidR="00C04E53" w:rsidRDefault="00000000">
      <w:pPr>
        <w:spacing w:line="360" w:lineRule="auto"/>
        <w:jc w:val="left"/>
        <w:rPr>
          <w:rFonts w:ascii="宋体" w:eastAsia="宋体" w:hAnsi="宋体" w:cs="宋体" w:hint="eastAsia"/>
          <w:color w:val="000000"/>
          <w:sz w:val="24"/>
        </w:rPr>
      </w:pPr>
      <w:r>
        <w:rPr>
          <w:rFonts w:ascii="宋体" w:eastAsia="宋体" w:hAnsi="宋体" w:cs="宋体" w:hint="eastAsia"/>
          <w:color w:val="000000"/>
          <w:sz w:val="24"/>
        </w:rPr>
        <w:t>起草组讨论后翻译为“</w:t>
      </w:r>
      <w:bookmarkStart w:id="11" w:name="_Hlk225773668"/>
      <w:r>
        <w:rPr>
          <w:rFonts w:ascii="宋体" w:eastAsia="宋体" w:hAnsi="宋体" w:cs="宋体" w:hint="eastAsia"/>
          <w:color w:val="000000"/>
          <w:sz w:val="24"/>
        </w:rPr>
        <w:t>6.1.1 矩形、正方形碟和盘的抗扭强度</w:t>
      </w:r>
    </w:p>
    <w:p w14:paraId="0F59F7A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按附录E试验后，对矩形或正方形或最大轴线超过300</w:t>
      </w:r>
      <w:r>
        <w:rPr>
          <w:rFonts w:ascii="宋体" w:eastAsia="宋体" w:hAnsi="宋体" w:cs="宋体"/>
          <w:color w:val="000000"/>
          <w:sz w:val="24"/>
        </w:rPr>
        <w:t>mm</w:t>
      </w:r>
      <w:r>
        <w:rPr>
          <w:rFonts w:ascii="宋体" w:eastAsia="宋体" w:hAnsi="宋体" w:cs="宋体" w:hint="eastAsia"/>
          <w:color w:val="000000"/>
          <w:sz w:val="24"/>
        </w:rPr>
        <w:t>的平盘，基体表面对角线的每</w:t>
      </w:r>
      <w:r>
        <w:rPr>
          <w:rFonts w:ascii="宋体" w:eastAsia="宋体" w:hAnsi="宋体" w:cs="宋体"/>
          <w:color w:val="000000"/>
          <w:sz w:val="24"/>
        </w:rPr>
        <w:t>100mm</w:t>
      </w:r>
      <w:r>
        <w:rPr>
          <w:rFonts w:ascii="宋体" w:eastAsia="宋体" w:hAnsi="宋体" w:cs="宋体" w:hint="eastAsia"/>
          <w:color w:val="000000"/>
          <w:sz w:val="24"/>
        </w:rPr>
        <w:t>的变形量不应超过</w:t>
      </w:r>
      <w:r>
        <w:rPr>
          <w:rFonts w:ascii="宋体" w:eastAsia="宋体" w:hAnsi="宋体" w:cs="宋体"/>
          <w:color w:val="000000"/>
          <w:sz w:val="24"/>
        </w:rPr>
        <w:t>3.5mm</w:t>
      </w:r>
      <w:r>
        <w:rPr>
          <w:rFonts w:ascii="宋体" w:eastAsia="宋体" w:hAnsi="宋体" w:cs="宋体" w:hint="eastAsia"/>
          <w:color w:val="000000"/>
          <w:sz w:val="24"/>
        </w:rPr>
        <w:t>。</w:t>
      </w:r>
      <w:bookmarkEnd w:id="11"/>
      <w:r>
        <w:rPr>
          <w:rFonts w:ascii="宋体" w:eastAsia="宋体" w:hAnsi="宋体" w:cs="宋体" w:hint="eastAsia"/>
          <w:color w:val="000000"/>
          <w:sz w:val="24"/>
        </w:rPr>
        <w:t>”</w:t>
      </w:r>
    </w:p>
    <w:p w14:paraId="097ECB64"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6.3 稳定性</w:t>
      </w:r>
    </w:p>
    <w:p w14:paraId="604D694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将表3中第二列的标题“</w:t>
      </w:r>
      <w:r>
        <w:rPr>
          <w:rFonts w:ascii="宋体" w:eastAsia="宋体" w:hAnsi="宋体" w:cs="宋体"/>
          <w:color w:val="000000"/>
          <w:sz w:val="24"/>
        </w:rPr>
        <w:t>Maximum permitted clearance betweenany foot and a plane surface</w:t>
      </w:r>
      <w:r>
        <w:rPr>
          <w:rFonts w:ascii="宋体" w:eastAsia="宋体" w:hAnsi="宋体" w:cs="宋体" w:hint="eastAsia"/>
          <w:color w:val="000000"/>
          <w:sz w:val="24"/>
        </w:rPr>
        <w:t>”翻译为“支脚与平面之间的最大允许间隙”</w:t>
      </w:r>
    </w:p>
    <w:p w14:paraId="14CBF015"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6.4 倒水</w:t>
      </w:r>
    </w:p>
    <w:p w14:paraId="6EC606B4"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将原文中的“Pouring”翻译为“倒水”。</w:t>
      </w:r>
    </w:p>
    <w:p w14:paraId="3DFC269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6.5 手柄温升和泄露</w:t>
      </w:r>
    </w:p>
    <w:p w14:paraId="0D6265BA"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 for insulated metal handles: 50 °C.</w:t>
      </w:r>
      <w:r>
        <w:rPr>
          <w:rFonts w:ascii="宋体" w:eastAsia="宋体" w:hAnsi="宋体" w:cs="宋体" w:hint="eastAsia"/>
          <w:color w:val="000000"/>
          <w:sz w:val="24"/>
        </w:rPr>
        <w:t>”讨论组认为翻译为“金属材料制成的手柄：50℃”更合适。</w:t>
      </w:r>
    </w:p>
    <w:p w14:paraId="12E53A62" w14:textId="77777777" w:rsidR="00C04E53" w:rsidRDefault="00000000">
      <w:pPr>
        <w:tabs>
          <w:tab w:val="left" w:pos="2003"/>
        </w:tabs>
        <w:spacing w:line="360" w:lineRule="auto"/>
        <w:jc w:val="left"/>
        <w:rPr>
          <w:rFonts w:ascii="宋体" w:eastAsia="宋体" w:hAnsi="宋体" w:cs="宋体" w:hint="eastAsia"/>
          <w:color w:val="000000"/>
          <w:sz w:val="24"/>
        </w:rPr>
      </w:pPr>
      <w:r>
        <w:rPr>
          <w:rFonts w:ascii="宋体" w:eastAsia="宋体" w:hAnsi="宋体" w:cs="宋体" w:hint="eastAsia"/>
          <w:color w:val="000000"/>
          <w:sz w:val="24"/>
        </w:rPr>
        <w:t xml:space="preserve">   6.6 镀银层的附着力</w:t>
      </w:r>
    </w:p>
    <w:p w14:paraId="7EFD82B6" w14:textId="77777777" w:rsidR="00C04E53" w:rsidRDefault="00000000">
      <w:pPr>
        <w:tabs>
          <w:tab w:val="left" w:pos="2003"/>
        </w:tabs>
        <w:spacing w:line="360" w:lineRule="auto"/>
        <w:jc w:val="left"/>
        <w:rPr>
          <w:rFonts w:ascii="宋体" w:eastAsia="宋体" w:hAnsi="宋体" w:cs="宋体" w:hint="eastAsia"/>
          <w:color w:val="000000"/>
          <w:sz w:val="24"/>
        </w:rPr>
      </w:pPr>
      <w:r>
        <w:rPr>
          <w:rFonts w:ascii="宋体" w:eastAsia="宋体" w:hAnsi="宋体" w:cs="宋体" w:hint="eastAsia"/>
          <w:color w:val="000000"/>
          <w:sz w:val="24"/>
        </w:rPr>
        <w:t xml:space="preserve">   原文中的“……</w:t>
      </w:r>
      <w:r>
        <w:rPr>
          <w:rFonts w:ascii="宋体" w:eastAsia="宋体" w:hAnsi="宋体" w:cs="宋体"/>
          <w:color w:val="000000"/>
          <w:sz w:val="24"/>
        </w:rPr>
        <w:t xml:space="preserve">heat/quench test </w:t>
      </w:r>
      <w:r>
        <w:rPr>
          <w:rFonts w:ascii="宋体" w:eastAsia="宋体" w:hAnsi="宋体" w:cs="宋体" w:hint="eastAsia"/>
          <w:color w:val="000000"/>
          <w:sz w:val="24"/>
        </w:rPr>
        <w:t>……”翻译为“……耐热/骤冷试验……”。</w:t>
      </w:r>
    </w:p>
    <w:p w14:paraId="5E8C7A66" w14:textId="77777777" w:rsidR="00C04E53" w:rsidRDefault="00C04E53">
      <w:pPr>
        <w:spacing w:line="360" w:lineRule="auto"/>
        <w:ind w:firstLineChars="200" w:firstLine="480"/>
        <w:jc w:val="left"/>
        <w:rPr>
          <w:rFonts w:ascii="宋体" w:eastAsia="宋体" w:hAnsi="宋体" w:cs="宋体" w:hint="eastAsia"/>
          <w:color w:val="000000"/>
          <w:sz w:val="24"/>
        </w:rPr>
      </w:pPr>
    </w:p>
    <w:p w14:paraId="4E4085AD"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附录部分A-K</w:t>
      </w:r>
      <w:r>
        <w:rPr>
          <w:rFonts w:hint="eastAsia"/>
          <w:color w:val="000000"/>
          <w:sz w:val="24"/>
        </w:rPr>
        <w:t>等同采用</w:t>
      </w:r>
      <w:r>
        <w:rPr>
          <w:rFonts w:hint="eastAsia"/>
          <w:color w:val="000000"/>
          <w:sz w:val="24"/>
        </w:rPr>
        <w:t>ISO 8442-3</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bookmarkStart w:id="12" w:name="_Hlk225774566"/>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3</w:t>
      </w:r>
      <w:r>
        <w:rPr>
          <w:rFonts w:hint="eastAsia"/>
          <w:color w:val="000000"/>
          <w:sz w:val="24"/>
        </w:rPr>
        <w:t>部分：镀银餐用和装饰用器皿技术要求</w:t>
      </w:r>
      <w:bookmarkEnd w:id="12"/>
      <w:r>
        <w:rPr>
          <w:rFonts w:hint="eastAsia"/>
          <w:color w:val="000000"/>
          <w:sz w:val="24"/>
        </w:rPr>
        <w:t>》的附录部分。</w:t>
      </w:r>
    </w:p>
    <w:p w14:paraId="1C5529E6"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三、主要试验（或验证）情况</w:t>
      </w:r>
    </w:p>
    <w:p w14:paraId="0A350D30" w14:textId="77777777" w:rsidR="00C04E53" w:rsidRDefault="00000000">
      <w:pPr>
        <w:spacing w:before="100" w:beforeAutospacing="1"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3047997E"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四、标准中涉及专利的情况</w:t>
      </w:r>
    </w:p>
    <w:p w14:paraId="45D8534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本标准不涉及专利问题。</w:t>
      </w:r>
    </w:p>
    <w:p w14:paraId="1700E40E"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五、预期达到的社会效益、对产业发展的作用等情况</w:t>
      </w:r>
    </w:p>
    <w:p w14:paraId="1839A536"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镀银餐用和装饰用器皿在日常生活中广泛使用</w:t>
      </w:r>
      <w:r>
        <w:rPr>
          <w:rFonts w:ascii="宋体" w:eastAsia="宋体" w:hAnsi="宋体" w:cs="宋体" w:hint="eastAsia"/>
          <w:color w:val="000000"/>
          <w:sz w:val="24"/>
        </w:rPr>
        <w:t>，但是目前国内尚没有该类产品相关的标准，《餐具和餐桌用凹形器皿 第3部分：镀银餐用和装饰用器皿技术要求》标准的制定不仅可以弥补此类产品的标准空白，还可</w:t>
      </w:r>
      <w:r>
        <w:rPr>
          <w:rFonts w:ascii="宋体" w:eastAsia="宋体" w:hAnsi="宋体" w:cs="宋体"/>
          <w:color w:val="000000"/>
          <w:sz w:val="24"/>
        </w:rPr>
        <w:t>通过规范生产过程中的基体金属、镀银层厚度</w:t>
      </w:r>
      <w:r>
        <w:rPr>
          <w:rFonts w:ascii="宋体" w:eastAsia="宋体" w:hAnsi="宋体" w:cs="宋体" w:hint="eastAsia"/>
          <w:color w:val="000000"/>
          <w:sz w:val="24"/>
        </w:rPr>
        <w:t>等</w:t>
      </w:r>
      <w:r>
        <w:rPr>
          <w:rFonts w:ascii="宋体" w:eastAsia="宋体" w:hAnsi="宋体" w:cs="宋体"/>
          <w:color w:val="000000"/>
          <w:sz w:val="24"/>
        </w:rPr>
        <w:t>技术要求，</w:t>
      </w:r>
      <w:r>
        <w:rPr>
          <w:rFonts w:ascii="宋体" w:eastAsia="宋体" w:hAnsi="宋体" w:cs="宋体" w:hint="eastAsia"/>
          <w:color w:val="000000"/>
          <w:sz w:val="24"/>
        </w:rPr>
        <w:t>保障产品安全性和可靠性，</w:t>
      </w:r>
      <w:r>
        <w:rPr>
          <w:rFonts w:ascii="宋体" w:eastAsia="宋体" w:hAnsi="宋体" w:cs="宋体"/>
          <w:color w:val="000000"/>
          <w:sz w:val="24"/>
        </w:rPr>
        <w:t>保障消费者健康</w:t>
      </w:r>
      <w:r>
        <w:rPr>
          <w:rFonts w:ascii="宋体" w:eastAsia="宋体" w:hAnsi="宋体" w:cs="宋体" w:hint="eastAsia"/>
          <w:color w:val="000000"/>
          <w:sz w:val="24"/>
        </w:rPr>
        <w:t>与安全，促进行业发展，推动镀银餐具行业向专业化、规模化发展，进一步规范市场，促进国际贸易。</w:t>
      </w:r>
    </w:p>
    <w:p w14:paraId="7683BDF7"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六、与国际、国外对比情况</w:t>
      </w:r>
    </w:p>
    <w:p w14:paraId="371B9329"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本标准等同采用ISO 8442-3：1997《接触食物的制品及材料-餐具和餐桌用凹形器皿 第3部分：镀银餐用和装饰用器皿技术要求》。</w:t>
      </w:r>
    </w:p>
    <w:p w14:paraId="37E94B0F"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七、在标准体系中的位置，与现行相关法律、法规、规章及相关标准，特别是强制性标准的协调性</w:t>
      </w:r>
    </w:p>
    <w:p w14:paraId="0BF15D03" w14:textId="77777777" w:rsidR="00C04E53" w:rsidRDefault="00000000">
      <w:pPr>
        <w:spacing w:line="360" w:lineRule="auto"/>
        <w:ind w:firstLineChars="200" w:firstLine="480"/>
        <w:jc w:val="left"/>
        <w:rPr>
          <w:rFonts w:ascii="宋体" w:eastAsia="宋体" w:hAnsi="宋体" w:cs="宋体" w:hint="eastAsia"/>
          <w:sz w:val="24"/>
        </w:rPr>
      </w:pPr>
      <w:r>
        <w:rPr>
          <w:rFonts w:ascii="宋体" w:eastAsia="宋体" w:hAnsi="宋体" w:cs="宋体" w:hint="eastAsia"/>
          <w:sz w:val="24"/>
        </w:rPr>
        <w:t>本标准属于金属餐饮及烹饪器具标准体系“02产品标准”大类下的“03器皿”中类产品之一</w:t>
      </w:r>
      <w:r>
        <w:rPr>
          <w:rFonts w:ascii="宋体" w:eastAsia="宋体" w:hAnsi="宋体" w:cs="宋体" w:hint="eastAsia"/>
          <w:sz w:val="24"/>
          <w:szCs w:val="24"/>
        </w:rPr>
        <w:t>“04镀层器皿”。</w:t>
      </w:r>
    </w:p>
    <w:p w14:paraId="4589F868"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本标准与现行相关法律、法规、规章及相关标准协调一致。</w:t>
      </w:r>
    </w:p>
    <w:p w14:paraId="590B9016"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本标准在体系表中的位置如下图所示：</w:t>
      </w:r>
    </w:p>
    <w:p w14:paraId="2BA381D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eastAsia="宋体" w:hint="eastAsia"/>
          <w:noProof/>
          <w:sz w:val="24"/>
        </w:rPr>
        <w:drawing>
          <wp:inline distT="0" distB="0" distL="0" distR="0" wp14:anchorId="3E3E155D" wp14:editId="6EC66F7E">
            <wp:extent cx="5274310" cy="3560445"/>
            <wp:effectExtent l="0" t="0" r="0" b="0"/>
            <wp:docPr id="896095413" name="图片 1" descr="17292367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5413" name="图片 1" descr="17292367898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560445"/>
                    </a:xfrm>
                    <a:prstGeom prst="rect">
                      <a:avLst/>
                    </a:prstGeom>
                    <a:noFill/>
                    <a:ln>
                      <a:noFill/>
                    </a:ln>
                  </pic:spPr>
                </pic:pic>
              </a:graphicData>
            </a:graphic>
          </wp:inline>
        </w:drawing>
      </w:r>
    </w:p>
    <w:p w14:paraId="3AB8295C" w14:textId="77777777" w:rsidR="00C04E53"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八、重大分歧意见的处理经过和依据</w:t>
      </w:r>
    </w:p>
    <w:p w14:paraId="4617809E"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0EAE1135" w14:textId="77777777" w:rsidR="00C04E53"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九、标准性质的建议说明</w:t>
      </w:r>
    </w:p>
    <w:p w14:paraId="46D6CFA2"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建议本标准的性质为推荐性行业标准。</w:t>
      </w:r>
    </w:p>
    <w:p w14:paraId="39E8483A" w14:textId="77777777" w:rsidR="00C04E53"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十、贯彻标准的要求和措施建议</w:t>
      </w:r>
    </w:p>
    <w:p w14:paraId="1F27B2C3"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szCs w:val="24"/>
        </w:rPr>
        <w:t>建议本标准批准发</w:t>
      </w:r>
      <w:r>
        <w:rPr>
          <w:rFonts w:ascii="宋体" w:eastAsia="宋体" w:hAnsi="宋体" w:cs="宋体" w:hint="eastAsia"/>
          <w:sz w:val="24"/>
          <w:szCs w:val="24"/>
        </w:rPr>
        <w:t>布12个月后</w:t>
      </w:r>
      <w:r>
        <w:rPr>
          <w:rFonts w:ascii="宋体" w:eastAsia="宋体" w:hAnsi="宋体" w:cs="宋体" w:hint="eastAsia"/>
          <w:color w:val="000000"/>
          <w:sz w:val="24"/>
          <w:szCs w:val="24"/>
        </w:rPr>
        <w:t>实施。</w:t>
      </w:r>
    </w:p>
    <w:p w14:paraId="5101A693" w14:textId="77777777" w:rsidR="00C04E53"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十一、废止现行相关标准的建议</w:t>
      </w:r>
    </w:p>
    <w:p w14:paraId="47603709" w14:textId="77777777" w:rsidR="00C04E53"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lastRenderedPageBreak/>
        <w:t>无</w:t>
      </w:r>
    </w:p>
    <w:p w14:paraId="512C21BF" w14:textId="77777777" w:rsidR="00C04E53"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十二、其他应予说明的事项</w:t>
      </w:r>
    </w:p>
    <w:p w14:paraId="25176F2F" w14:textId="77777777" w:rsidR="00C04E53"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0F112CE7" w14:textId="77777777" w:rsidR="00C04E53" w:rsidRDefault="00C04E53">
      <w:pPr>
        <w:shd w:val="clear" w:color="auto" w:fill="FFFFFF"/>
        <w:spacing w:line="360" w:lineRule="auto"/>
        <w:ind w:firstLineChars="196" w:firstLine="412"/>
        <w:jc w:val="right"/>
        <w:textAlignment w:val="top"/>
        <w:rPr>
          <w:rFonts w:ascii="华文新魏" w:eastAsia="华文新魏" w:hAnsi="宋体" w:hint="eastAsia"/>
          <w:kern w:val="0"/>
          <w:szCs w:val="21"/>
        </w:rPr>
      </w:pPr>
    </w:p>
    <w:p w14:paraId="20F450B1" w14:textId="77777777" w:rsidR="00C04E53"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标准起草小组</w:t>
      </w:r>
    </w:p>
    <w:p w14:paraId="57C867AC" w14:textId="77777777" w:rsidR="00C04E53"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2026年04月</w:t>
      </w:r>
    </w:p>
    <w:sectPr w:rsidR="00C04E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2F7F2" w14:textId="77777777" w:rsidR="00DA051E" w:rsidRDefault="00DA051E" w:rsidP="00792FD4">
      <w:r>
        <w:separator/>
      </w:r>
    </w:p>
  </w:endnote>
  <w:endnote w:type="continuationSeparator" w:id="0">
    <w:p w14:paraId="64D4FA96" w14:textId="77777777" w:rsidR="00DA051E" w:rsidRDefault="00DA051E" w:rsidP="00792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89489" w14:textId="77777777" w:rsidR="00DA051E" w:rsidRDefault="00DA051E" w:rsidP="00792FD4">
      <w:r>
        <w:separator/>
      </w:r>
    </w:p>
  </w:footnote>
  <w:footnote w:type="continuationSeparator" w:id="0">
    <w:p w14:paraId="4DADE063" w14:textId="77777777" w:rsidR="00DA051E" w:rsidRDefault="00DA051E" w:rsidP="00792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75717A7"/>
    <w:multiLevelType w:val="singleLevel"/>
    <w:tmpl w:val="A75717A7"/>
    <w:lvl w:ilvl="0">
      <w:start w:val="1"/>
      <w:numFmt w:val="decimal"/>
      <w:suff w:val="nothing"/>
      <w:lvlText w:val="（%1）"/>
      <w:lvlJc w:val="left"/>
      <w:rPr>
        <w:rFonts w:ascii="黑体" w:eastAsia="黑体" w:hAnsi="黑体" w:cs="黑体" w:hint="default"/>
        <w:b w:val="0"/>
        <w:bCs w:val="0"/>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945" w:firstLine="0"/>
      </w:pPr>
      <w:rPr>
        <w:rFonts w:ascii="黑体" w:eastAsia="黑体" w:hAnsi="Times New Roman" w:hint="eastAsia"/>
        <w:b w:val="0"/>
        <w:i w:val="0"/>
        <w:sz w:val="21"/>
      </w:rPr>
    </w:lvl>
    <w:lvl w:ilvl="3">
      <w:start w:val="1"/>
      <w:numFmt w:val="decimal"/>
      <w:suff w:val="nothing"/>
      <w:lvlText w:val="%1.%2.%3.%4　"/>
      <w:lvlJc w:val="left"/>
      <w:pPr>
        <w:ind w:left="94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45E813B9"/>
    <w:multiLevelType w:val="hybridMultilevel"/>
    <w:tmpl w:val="B8BC9FC6"/>
    <w:lvl w:ilvl="0" w:tplc="E9C25B72">
      <w:start w:val="2"/>
      <w:numFmt w:val="decimal"/>
      <w:lvlText w:val="%1）"/>
      <w:lvlJc w:val="left"/>
      <w:pPr>
        <w:ind w:left="360" w:hanging="360"/>
      </w:pPr>
      <w:rPr>
        <w:rFonts w:ascii="等线" w:hAnsi="等线"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557C2AF5"/>
    <w:multiLevelType w:val="multilevel"/>
    <w:tmpl w:val="557C2AF5"/>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646260FA"/>
    <w:multiLevelType w:val="multilevel"/>
    <w:tmpl w:val="646260FA"/>
    <w:lvl w:ilvl="0">
      <w:start w:val="1"/>
      <w:numFmt w:val="decimal"/>
      <w:pStyle w:val="a3"/>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15:restartNumberingAfterBreak="0">
    <w:nsid w:val="7B247173"/>
    <w:multiLevelType w:val="multilevel"/>
    <w:tmpl w:val="7B24717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7412930">
    <w:abstractNumId w:val="1"/>
  </w:num>
  <w:num w:numId="2" w16cid:durableId="701710379">
    <w:abstractNumId w:val="4"/>
  </w:num>
  <w:num w:numId="3" w16cid:durableId="1742866891">
    <w:abstractNumId w:val="3"/>
  </w:num>
  <w:num w:numId="4" w16cid:durableId="2067029415">
    <w:abstractNumId w:val="0"/>
  </w:num>
  <w:num w:numId="5" w16cid:durableId="1489134335">
    <w:abstractNumId w:val="5"/>
  </w:num>
  <w:num w:numId="6" w16cid:durableId="12410189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TllMTc3MjIxZGExZDRhZWY3MWIyMTQyOWQxNDRmYjEifQ=="/>
  </w:docVars>
  <w:rsids>
    <w:rsidRoot w:val="0C246093"/>
    <w:rsid w:val="00032CB8"/>
    <w:rsid w:val="000426B0"/>
    <w:rsid w:val="00065FCA"/>
    <w:rsid w:val="00066270"/>
    <w:rsid w:val="00071595"/>
    <w:rsid w:val="00106648"/>
    <w:rsid w:val="001373D2"/>
    <w:rsid w:val="001B0E20"/>
    <w:rsid w:val="001D541A"/>
    <w:rsid w:val="00223E5B"/>
    <w:rsid w:val="002E03E9"/>
    <w:rsid w:val="003A1177"/>
    <w:rsid w:val="003B43F9"/>
    <w:rsid w:val="003D35F7"/>
    <w:rsid w:val="003F6AF1"/>
    <w:rsid w:val="003F7044"/>
    <w:rsid w:val="004359E2"/>
    <w:rsid w:val="004D4C3E"/>
    <w:rsid w:val="004F5888"/>
    <w:rsid w:val="00571B32"/>
    <w:rsid w:val="005A5369"/>
    <w:rsid w:val="005B13E1"/>
    <w:rsid w:val="0061195E"/>
    <w:rsid w:val="00630944"/>
    <w:rsid w:val="006344E6"/>
    <w:rsid w:val="00661835"/>
    <w:rsid w:val="0069140A"/>
    <w:rsid w:val="006C3867"/>
    <w:rsid w:val="006F77C4"/>
    <w:rsid w:val="00755F8B"/>
    <w:rsid w:val="007902C2"/>
    <w:rsid w:val="00792FD4"/>
    <w:rsid w:val="007A3E2A"/>
    <w:rsid w:val="007C1930"/>
    <w:rsid w:val="00815901"/>
    <w:rsid w:val="00860D8B"/>
    <w:rsid w:val="008D6A3A"/>
    <w:rsid w:val="00942D05"/>
    <w:rsid w:val="00951AD3"/>
    <w:rsid w:val="0097103F"/>
    <w:rsid w:val="00971BC0"/>
    <w:rsid w:val="00977E18"/>
    <w:rsid w:val="009C5316"/>
    <w:rsid w:val="009E3365"/>
    <w:rsid w:val="00A4417A"/>
    <w:rsid w:val="00A66855"/>
    <w:rsid w:val="00AF5469"/>
    <w:rsid w:val="00B073F1"/>
    <w:rsid w:val="00B27A9A"/>
    <w:rsid w:val="00BE5546"/>
    <w:rsid w:val="00C04E53"/>
    <w:rsid w:val="00C2519C"/>
    <w:rsid w:val="00C53B22"/>
    <w:rsid w:val="00C97CF6"/>
    <w:rsid w:val="00CA21C2"/>
    <w:rsid w:val="00CC4835"/>
    <w:rsid w:val="00D0773F"/>
    <w:rsid w:val="00D11135"/>
    <w:rsid w:val="00D208A2"/>
    <w:rsid w:val="00D27619"/>
    <w:rsid w:val="00D77F0F"/>
    <w:rsid w:val="00DA051E"/>
    <w:rsid w:val="00DE4908"/>
    <w:rsid w:val="00DF09D0"/>
    <w:rsid w:val="00E31D41"/>
    <w:rsid w:val="00E41162"/>
    <w:rsid w:val="00EF2882"/>
    <w:rsid w:val="00F23951"/>
    <w:rsid w:val="00FF547C"/>
    <w:rsid w:val="01C02B82"/>
    <w:rsid w:val="01E21263"/>
    <w:rsid w:val="02567741"/>
    <w:rsid w:val="02954528"/>
    <w:rsid w:val="03312939"/>
    <w:rsid w:val="03A013D6"/>
    <w:rsid w:val="03AE3AF3"/>
    <w:rsid w:val="03DB41BC"/>
    <w:rsid w:val="040C0819"/>
    <w:rsid w:val="045B2CFC"/>
    <w:rsid w:val="045F4DED"/>
    <w:rsid w:val="048B19E8"/>
    <w:rsid w:val="050E236F"/>
    <w:rsid w:val="051536FE"/>
    <w:rsid w:val="059960DD"/>
    <w:rsid w:val="05E76E48"/>
    <w:rsid w:val="070740F9"/>
    <w:rsid w:val="07B508DF"/>
    <w:rsid w:val="083B347B"/>
    <w:rsid w:val="08470072"/>
    <w:rsid w:val="091B505B"/>
    <w:rsid w:val="09526CCE"/>
    <w:rsid w:val="099B1B36"/>
    <w:rsid w:val="0A577F4C"/>
    <w:rsid w:val="0B1B1342"/>
    <w:rsid w:val="0BE107DE"/>
    <w:rsid w:val="0BE3070D"/>
    <w:rsid w:val="0BE70187"/>
    <w:rsid w:val="0BFD7267"/>
    <w:rsid w:val="0C246093"/>
    <w:rsid w:val="0C2C7C08"/>
    <w:rsid w:val="0D3F756A"/>
    <w:rsid w:val="0E4B63E2"/>
    <w:rsid w:val="0EDA1C1B"/>
    <w:rsid w:val="0F1E48BB"/>
    <w:rsid w:val="10173CA8"/>
    <w:rsid w:val="107E5786"/>
    <w:rsid w:val="108A0770"/>
    <w:rsid w:val="11091757"/>
    <w:rsid w:val="113E3FDC"/>
    <w:rsid w:val="113F222E"/>
    <w:rsid w:val="11FE39FE"/>
    <w:rsid w:val="12394ECF"/>
    <w:rsid w:val="12FB3F33"/>
    <w:rsid w:val="13272F7A"/>
    <w:rsid w:val="13F007FE"/>
    <w:rsid w:val="14B46A8F"/>
    <w:rsid w:val="162437A1"/>
    <w:rsid w:val="16BA2357"/>
    <w:rsid w:val="16D276A1"/>
    <w:rsid w:val="170610F8"/>
    <w:rsid w:val="17083D07"/>
    <w:rsid w:val="18320F27"/>
    <w:rsid w:val="18B6426E"/>
    <w:rsid w:val="19483C4A"/>
    <w:rsid w:val="19B03586"/>
    <w:rsid w:val="19D84FCE"/>
    <w:rsid w:val="1A726FE1"/>
    <w:rsid w:val="1BDC2FB5"/>
    <w:rsid w:val="1C1222ED"/>
    <w:rsid w:val="1D6E79F7"/>
    <w:rsid w:val="1E7828DC"/>
    <w:rsid w:val="1ED308DE"/>
    <w:rsid w:val="1EDD3086"/>
    <w:rsid w:val="1EF81C6E"/>
    <w:rsid w:val="1F8864BD"/>
    <w:rsid w:val="1FBE69C7"/>
    <w:rsid w:val="1FC41B50"/>
    <w:rsid w:val="1FFC12EA"/>
    <w:rsid w:val="203352EF"/>
    <w:rsid w:val="21026F8C"/>
    <w:rsid w:val="211214DA"/>
    <w:rsid w:val="212136FE"/>
    <w:rsid w:val="219043E0"/>
    <w:rsid w:val="219E4D4F"/>
    <w:rsid w:val="23644DFC"/>
    <w:rsid w:val="24704055"/>
    <w:rsid w:val="24BC193D"/>
    <w:rsid w:val="25063F87"/>
    <w:rsid w:val="25155CB3"/>
    <w:rsid w:val="25B52667"/>
    <w:rsid w:val="25E47C3B"/>
    <w:rsid w:val="26CF1507"/>
    <w:rsid w:val="27441EF5"/>
    <w:rsid w:val="276C4B18"/>
    <w:rsid w:val="297C6104"/>
    <w:rsid w:val="298505A2"/>
    <w:rsid w:val="2A0E2346"/>
    <w:rsid w:val="2A3F69A3"/>
    <w:rsid w:val="2BBD6AEF"/>
    <w:rsid w:val="2BFD08C4"/>
    <w:rsid w:val="2CA60F5C"/>
    <w:rsid w:val="2E4F7B2D"/>
    <w:rsid w:val="2F034443"/>
    <w:rsid w:val="2F0F103A"/>
    <w:rsid w:val="2F100151"/>
    <w:rsid w:val="2FB92D54"/>
    <w:rsid w:val="30533327"/>
    <w:rsid w:val="30556F21"/>
    <w:rsid w:val="30B17ECF"/>
    <w:rsid w:val="30CE0A81"/>
    <w:rsid w:val="30EA3C75"/>
    <w:rsid w:val="31CF2D03"/>
    <w:rsid w:val="326C67A3"/>
    <w:rsid w:val="335100C4"/>
    <w:rsid w:val="35396A06"/>
    <w:rsid w:val="356A2279"/>
    <w:rsid w:val="35CF507F"/>
    <w:rsid w:val="360B1E2F"/>
    <w:rsid w:val="3643781B"/>
    <w:rsid w:val="36DE25AD"/>
    <w:rsid w:val="374A734B"/>
    <w:rsid w:val="381A19B9"/>
    <w:rsid w:val="387E2D8D"/>
    <w:rsid w:val="387E4F17"/>
    <w:rsid w:val="39160DB7"/>
    <w:rsid w:val="39C3314D"/>
    <w:rsid w:val="3AF37A62"/>
    <w:rsid w:val="3BD333B1"/>
    <w:rsid w:val="3C463BC1"/>
    <w:rsid w:val="3CD81DA3"/>
    <w:rsid w:val="3CD93518"/>
    <w:rsid w:val="3CDE760E"/>
    <w:rsid w:val="3D9A41C5"/>
    <w:rsid w:val="3DDC228A"/>
    <w:rsid w:val="3DF5589F"/>
    <w:rsid w:val="3E344619"/>
    <w:rsid w:val="3EB32CDE"/>
    <w:rsid w:val="3EC314F9"/>
    <w:rsid w:val="3FA255B3"/>
    <w:rsid w:val="3FEB51AC"/>
    <w:rsid w:val="40AF61D9"/>
    <w:rsid w:val="40FC0CF2"/>
    <w:rsid w:val="411952E3"/>
    <w:rsid w:val="413401E0"/>
    <w:rsid w:val="41344930"/>
    <w:rsid w:val="41DD6CB1"/>
    <w:rsid w:val="41E974C9"/>
    <w:rsid w:val="42BF7BD9"/>
    <w:rsid w:val="434626F9"/>
    <w:rsid w:val="437454B8"/>
    <w:rsid w:val="43FB1735"/>
    <w:rsid w:val="44C4378F"/>
    <w:rsid w:val="44CE6E4A"/>
    <w:rsid w:val="450C6CA9"/>
    <w:rsid w:val="451457B8"/>
    <w:rsid w:val="460751D5"/>
    <w:rsid w:val="46AB68FC"/>
    <w:rsid w:val="47DE55F6"/>
    <w:rsid w:val="485633DE"/>
    <w:rsid w:val="48C22822"/>
    <w:rsid w:val="497C50C6"/>
    <w:rsid w:val="499D3162"/>
    <w:rsid w:val="4A58168F"/>
    <w:rsid w:val="4AA77F21"/>
    <w:rsid w:val="4BD24070"/>
    <w:rsid w:val="4D124791"/>
    <w:rsid w:val="4D673998"/>
    <w:rsid w:val="4DEB6377"/>
    <w:rsid w:val="4E36549E"/>
    <w:rsid w:val="4F8C553D"/>
    <w:rsid w:val="5226795D"/>
    <w:rsid w:val="52630BD1"/>
    <w:rsid w:val="532F60A0"/>
    <w:rsid w:val="534E1882"/>
    <w:rsid w:val="53830D6B"/>
    <w:rsid w:val="538C23AA"/>
    <w:rsid w:val="53C658BC"/>
    <w:rsid w:val="53C77AB5"/>
    <w:rsid w:val="53CE651E"/>
    <w:rsid w:val="540569E3"/>
    <w:rsid w:val="55445697"/>
    <w:rsid w:val="571921A6"/>
    <w:rsid w:val="575B386D"/>
    <w:rsid w:val="585C67EF"/>
    <w:rsid w:val="58BD4DB3"/>
    <w:rsid w:val="58CD3249"/>
    <w:rsid w:val="597F070F"/>
    <w:rsid w:val="598F49A2"/>
    <w:rsid w:val="59BC56EC"/>
    <w:rsid w:val="59CC52AE"/>
    <w:rsid w:val="59EE791A"/>
    <w:rsid w:val="5B8322E4"/>
    <w:rsid w:val="5BBD00A9"/>
    <w:rsid w:val="5BC20A51"/>
    <w:rsid w:val="5BD0205B"/>
    <w:rsid w:val="5C092082"/>
    <w:rsid w:val="5C451348"/>
    <w:rsid w:val="5C491F27"/>
    <w:rsid w:val="5C62639E"/>
    <w:rsid w:val="5CA55044"/>
    <w:rsid w:val="5D9A56C3"/>
    <w:rsid w:val="5DFE20F6"/>
    <w:rsid w:val="5E0F1C0D"/>
    <w:rsid w:val="5F2D09F2"/>
    <w:rsid w:val="61001CE1"/>
    <w:rsid w:val="61493688"/>
    <w:rsid w:val="622933B5"/>
    <w:rsid w:val="62526E48"/>
    <w:rsid w:val="642C206B"/>
    <w:rsid w:val="65624D19"/>
    <w:rsid w:val="65F22540"/>
    <w:rsid w:val="660202AA"/>
    <w:rsid w:val="66137403"/>
    <w:rsid w:val="689B6EBF"/>
    <w:rsid w:val="68C14AFC"/>
    <w:rsid w:val="68EE2FED"/>
    <w:rsid w:val="6A246A40"/>
    <w:rsid w:val="6A4D6F39"/>
    <w:rsid w:val="6A890F99"/>
    <w:rsid w:val="6B0F76F1"/>
    <w:rsid w:val="6B705C95"/>
    <w:rsid w:val="6B71773A"/>
    <w:rsid w:val="6B96571C"/>
    <w:rsid w:val="6BB838E4"/>
    <w:rsid w:val="6BD526E8"/>
    <w:rsid w:val="6BF1329A"/>
    <w:rsid w:val="6BFF7765"/>
    <w:rsid w:val="6C382C77"/>
    <w:rsid w:val="6CF22C23"/>
    <w:rsid w:val="6D7D37A2"/>
    <w:rsid w:val="6E8D6BAB"/>
    <w:rsid w:val="6FA04DBB"/>
    <w:rsid w:val="70227EC6"/>
    <w:rsid w:val="702F7EED"/>
    <w:rsid w:val="70556965"/>
    <w:rsid w:val="70C90342"/>
    <w:rsid w:val="70E1568B"/>
    <w:rsid w:val="71FB1588"/>
    <w:rsid w:val="720561EB"/>
    <w:rsid w:val="7214383E"/>
    <w:rsid w:val="73B42E67"/>
    <w:rsid w:val="77752FD1"/>
    <w:rsid w:val="789F7F95"/>
    <w:rsid w:val="78AD22F7"/>
    <w:rsid w:val="78F77206"/>
    <w:rsid w:val="79350FEC"/>
    <w:rsid w:val="794B3FEA"/>
    <w:rsid w:val="7AC14D8B"/>
    <w:rsid w:val="7B152B01"/>
    <w:rsid w:val="7B1E74DC"/>
    <w:rsid w:val="7B430ADD"/>
    <w:rsid w:val="7B997274"/>
    <w:rsid w:val="7B9B1E24"/>
    <w:rsid w:val="7C8F243F"/>
    <w:rsid w:val="7CD12A58"/>
    <w:rsid w:val="7CFE1373"/>
    <w:rsid w:val="7D2A1F4D"/>
    <w:rsid w:val="7DAE0FEB"/>
    <w:rsid w:val="7E15161E"/>
    <w:rsid w:val="7F5636E8"/>
    <w:rsid w:val="7FD15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98CC4C"/>
  <w15:docId w15:val="{E75D8C36-5B24-4BB6-9028-7A0FC54A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uiPriority w:val="99"/>
    <w:semiHidden/>
    <w:unhideWhenUsed/>
    <w:qFormat/>
    <w:pPr>
      <w:jc w:val="left"/>
    </w:pPr>
  </w:style>
  <w:style w:type="paragraph" w:styleId="a9">
    <w:name w:val="footer"/>
    <w:basedOn w:val="a4"/>
    <w:link w:val="aa"/>
    <w:qFormat/>
    <w:pPr>
      <w:tabs>
        <w:tab w:val="center" w:pos="4153"/>
        <w:tab w:val="right" w:pos="8306"/>
      </w:tabs>
      <w:snapToGrid w:val="0"/>
      <w:jc w:val="left"/>
    </w:pPr>
    <w:rPr>
      <w:sz w:val="18"/>
      <w:szCs w:val="18"/>
    </w:rPr>
  </w:style>
  <w:style w:type="paragraph" w:styleId="ab">
    <w:name w:val="header"/>
    <w:basedOn w:val="a4"/>
    <w:link w:val="ac"/>
    <w:qFormat/>
    <w:pPr>
      <w:tabs>
        <w:tab w:val="center" w:pos="4153"/>
        <w:tab w:val="right" w:pos="8306"/>
      </w:tabs>
      <w:snapToGrid w:val="0"/>
      <w:jc w:val="center"/>
    </w:pPr>
    <w:rPr>
      <w:sz w:val="18"/>
      <w:szCs w:val="18"/>
    </w:rPr>
  </w:style>
  <w:style w:type="table" w:styleId="ad">
    <w:name w:val="Table Grid"/>
    <w:basedOn w:val="a6"/>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e">
    <w:name w:val="段"/>
    <w:qFormat/>
    <w:pPr>
      <w:autoSpaceDE w:val="0"/>
      <w:autoSpaceDN w:val="0"/>
      <w:ind w:firstLineChars="200" w:firstLine="200"/>
      <w:jc w:val="both"/>
    </w:pPr>
    <w:rPr>
      <w:rFonts w:ascii="宋体" w:eastAsia="宋体" w:hAnsi="Times New Roman" w:cs="Times New Roman"/>
      <w:sz w:val="21"/>
    </w:rPr>
  </w:style>
  <w:style w:type="paragraph" w:customStyle="1" w:styleId="af">
    <w:name w:val="一级无"/>
    <w:basedOn w:val="a0"/>
    <w:qFormat/>
    <w:pPr>
      <w:spacing w:beforeLines="0" w:afterLines="0"/>
    </w:pPr>
    <w:rPr>
      <w:rFonts w:ascii="宋体" w:eastAsia="宋体"/>
    </w:rPr>
  </w:style>
  <w:style w:type="paragraph" w:customStyle="1" w:styleId="a0">
    <w:name w:val="一级条标题"/>
    <w:basedOn w:val="a"/>
    <w:next w:val="ae"/>
    <w:qFormat/>
    <w:pPr>
      <w:numPr>
        <w:ilvl w:val="1"/>
      </w:numPr>
      <w:spacing w:beforeLines="50" w:afterLines="50"/>
      <w:outlineLvl w:val="2"/>
    </w:pPr>
    <w:rPr>
      <w:szCs w:val="21"/>
    </w:rPr>
  </w:style>
  <w:style w:type="paragraph" w:customStyle="1" w:styleId="a">
    <w:name w:val="章标题"/>
    <w:next w:val="ae"/>
    <w:qFormat/>
    <w:pPr>
      <w:numPr>
        <w:numId w:val="1"/>
      </w:numPr>
      <w:spacing w:beforeLines="100" w:afterLines="100"/>
      <w:jc w:val="both"/>
      <w:outlineLvl w:val="1"/>
    </w:pPr>
    <w:rPr>
      <w:rFonts w:ascii="黑体" w:eastAsia="黑体" w:hAnsi="Times New Roman" w:cs="Times New Roman"/>
      <w:sz w:val="21"/>
    </w:rPr>
  </w:style>
  <w:style w:type="paragraph" w:customStyle="1" w:styleId="af0">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f1">
    <w:name w:val="二级无"/>
    <w:basedOn w:val="a1"/>
    <w:qFormat/>
    <w:pPr>
      <w:spacing w:beforeLines="0" w:afterLines="0"/>
    </w:pPr>
    <w:rPr>
      <w:rFonts w:ascii="宋体" w:eastAsia="宋体"/>
    </w:rPr>
  </w:style>
  <w:style w:type="paragraph" w:customStyle="1" w:styleId="a1">
    <w:name w:val="二级条标题"/>
    <w:basedOn w:val="a0"/>
    <w:next w:val="ae"/>
    <w:qFormat/>
    <w:pPr>
      <w:numPr>
        <w:ilvl w:val="2"/>
      </w:numPr>
      <w:spacing w:before="50" w:after="50"/>
      <w:outlineLvl w:val="3"/>
    </w:pPr>
  </w:style>
  <w:style w:type="paragraph" w:customStyle="1" w:styleId="a3">
    <w:name w:val="正文表标题"/>
    <w:next w:val="ae"/>
    <w:qFormat/>
    <w:pPr>
      <w:numPr>
        <w:numId w:val="2"/>
      </w:numPr>
      <w:tabs>
        <w:tab w:val="left" w:pos="360"/>
      </w:tabs>
      <w:spacing w:beforeLines="50" w:afterLines="50"/>
      <w:jc w:val="center"/>
    </w:pPr>
    <w:rPr>
      <w:rFonts w:ascii="黑体" w:eastAsia="黑体" w:hAnsi="Times New Roman" w:cs="Times New Roman"/>
      <w:sz w:val="21"/>
    </w:rPr>
  </w:style>
  <w:style w:type="paragraph" w:customStyle="1" w:styleId="1">
    <w:name w:val="列出段落1"/>
    <w:basedOn w:val="a4"/>
    <w:uiPriority w:val="34"/>
    <w:unhideWhenUsed/>
    <w:qFormat/>
    <w:pPr>
      <w:ind w:firstLineChars="200" w:firstLine="420"/>
    </w:pPr>
  </w:style>
  <w:style w:type="paragraph" w:customStyle="1" w:styleId="af2">
    <w:name w:val="标准文件_示例内容"/>
    <w:basedOn w:val="af0"/>
    <w:qFormat/>
    <w:pPr>
      <w:ind w:firstLine="420"/>
    </w:pPr>
    <w:rPr>
      <w:sz w:val="18"/>
    </w:rPr>
  </w:style>
  <w:style w:type="paragraph" w:customStyle="1" w:styleId="a2">
    <w:name w:val="标准文件_正文图标题"/>
    <w:next w:val="af0"/>
    <w:qFormat/>
    <w:pPr>
      <w:numPr>
        <w:numId w:val="3"/>
      </w:numPr>
      <w:spacing w:beforeLines="50" w:afterLines="50"/>
      <w:jc w:val="center"/>
    </w:pPr>
    <w:rPr>
      <w:rFonts w:ascii="黑体" w:eastAsia="黑体" w:hAnsi="Times New Roman" w:cs="Times New Roman"/>
      <w:sz w:val="21"/>
    </w:rPr>
  </w:style>
  <w:style w:type="character" w:customStyle="1" w:styleId="ac">
    <w:name w:val="页眉 字符"/>
    <w:basedOn w:val="a5"/>
    <w:link w:val="ab"/>
    <w:qFormat/>
    <w:rPr>
      <w:kern w:val="2"/>
      <w:sz w:val="18"/>
      <w:szCs w:val="18"/>
    </w:rPr>
  </w:style>
  <w:style w:type="character" w:customStyle="1" w:styleId="aa">
    <w:name w:val="页脚 字符"/>
    <w:basedOn w:val="a5"/>
    <w:link w:val="a9"/>
    <w:qFormat/>
    <w:rPr>
      <w:kern w:val="2"/>
      <w:sz w:val="18"/>
      <w:szCs w:val="18"/>
    </w:rPr>
  </w:style>
  <w:style w:type="paragraph" w:styleId="af3">
    <w:name w:val="List Paragraph"/>
    <w:basedOn w:val="a4"/>
    <w:uiPriority w:val="34"/>
    <w:unhideWhenUsed/>
    <w:qFormat/>
    <w:pPr>
      <w:ind w:firstLineChars="200" w:firstLine="420"/>
    </w:pPr>
  </w:style>
  <w:style w:type="character" w:customStyle="1" w:styleId="Char">
    <w:name w:val="标准文件_段 Char"/>
    <w:link w:val="af0"/>
    <w:qFormat/>
    <w:rsid w:val="006344E6"/>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970</Words>
  <Characters>5530</Characters>
  <Application>Microsoft Office Word</Application>
  <DocSecurity>0</DocSecurity>
  <Lines>46</Lines>
  <Paragraphs>12</Paragraphs>
  <ScaleCrop>false</ScaleCrop>
  <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岩 杨</cp:lastModifiedBy>
  <cp:revision>55</cp:revision>
  <dcterms:created xsi:type="dcterms:W3CDTF">2024-10-28T04:26:00Z</dcterms:created>
  <dcterms:modified xsi:type="dcterms:W3CDTF">2026-05-08T03:28:00Z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EC6D6B054CAC4505A77264C0A36D6BAB_13</vt:lpwstr>
  </property>
  <property fmtid="{D5CDD505-2E9C-101B-9397-08002B2CF9AE}" pid="4" name="KSOTemplateDocerSaveRecord">
    <vt:lpwstr>eyJoZGlkIjoiNDk3N2VjZWM4NmIyODJjZjBlMjg5YmZmZDA1OGY5MWUiLCJ1c2VySWQiOiIzNTcwMzY3MDAifQ==</vt:lpwstr>
  </property>
</Properties>
</file>