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45"/>
      </w:tblGrid>
      <w:tr w14:paraId="1BF5F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22D875D7">
            <w:pPr>
              <w:pStyle w:val="20"/>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652D7532">
            <w:pPr>
              <w:pStyle w:val="20"/>
              <w:framePr w:wrap="notBeside" w:vAnchor="page" w:hAnchor="page" w:x="1372" w:y="568"/>
              <w:tabs>
                <w:tab w:val="clear" w:pos="4153"/>
                <w:tab w:val="clear" w:pos="8306"/>
              </w:tabs>
              <w:spacing w:line="240" w:lineRule="auto"/>
              <w:ind w:left="3"/>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97.040.60</w:t>
            </w:r>
            <w:r>
              <w:rPr>
                <w:rFonts w:ascii="黑体" w:hAnsi="黑体" w:eastAsia="黑体"/>
                <w:sz w:val="21"/>
                <w:szCs w:val="21"/>
              </w:rPr>
              <w:fldChar w:fldCharType="end"/>
            </w:r>
            <w:bookmarkEnd w:id="0"/>
          </w:p>
        </w:tc>
      </w:tr>
      <w:tr w14:paraId="507AA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575604A">
            <w:pPr>
              <w:pStyle w:val="20"/>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42FBC9D4">
            <w:pPr>
              <w:pStyle w:val="20"/>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Y 73</w:t>
            </w:r>
            <w:r>
              <w:rPr>
                <w:rFonts w:ascii="黑体" w:hAnsi="黑体" w:eastAsia="黑体"/>
                <w:sz w:val="21"/>
                <w:szCs w:val="21"/>
              </w:rPr>
              <w:fldChar w:fldCharType="end"/>
            </w:r>
            <w:bookmarkEnd w:id="1"/>
          </w:p>
        </w:tc>
      </w:tr>
    </w:tbl>
    <w:p w14:paraId="0C5CF531">
      <w:pPr>
        <w:pStyle w:val="52"/>
        <w:framePr w:w="9639" w:h="624" w:hRule="exact" w:hSpace="181" w:vSpace="181" w:wrap="around" w:hAnchor="page" w:x="1305" w:y="2269"/>
      </w:pPr>
      <w:bookmarkStart w:id="2" w:name="_Hlk26473981"/>
      <w:r>
        <w:rPr>
          <w:rFonts w:hint="eastAsia"/>
        </w:rPr>
        <w:t>中华人民共和国国家标准</w:t>
      </w:r>
    </w:p>
    <w:bookmarkEnd w:id="2"/>
    <w:p w14:paraId="6537048F">
      <w:pPr>
        <w:pStyle w:val="197"/>
        <w:framePr/>
      </w:pPr>
      <w:r>
        <w:fldChar w:fldCharType="begin">
          <w:ffData>
            <w:name w:val="文字1"/>
            <w:enabled/>
            <w:calcOnExit w:val="0"/>
            <w:textInput>
              <w:default w:val="GB/T"/>
            </w:textInput>
          </w:ffData>
        </w:fldChar>
      </w:r>
      <w:bookmarkStart w:id="3" w:name="文字1"/>
      <w:r>
        <w:instrText xml:space="preserve"> FORMTEXT </w:instrText>
      </w:r>
      <w:r>
        <w:fldChar w:fldCharType="separate"/>
      </w:r>
      <w:r>
        <w:t>GB/T</w:t>
      </w:r>
      <w:r>
        <w:fldChar w:fldCharType="end"/>
      </w:r>
      <w:bookmarkEnd w:id="3"/>
      <w:r>
        <w:t xml:space="preserve"> </w:t>
      </w:r>
      <w:r>
        <w:fldChar w:fldCharType="begin">
          <w:ffData>
            <w:name w:val="NSTD_CODE_F"/>
            <w:enabled/>
            <w:calcOnExit w:val="0"/>
            <w:textInput>
              <w:default w:val="XXXXX"/>
            </w:textInput>
          </w:ffData>
        </w:fldChar>
      </w:r>
      <w:bookmarkStart w:id="4" w:name="NSTD_CODE_F"/>
      <w:r>
        <w:instrText xml:space="preserve"> FORMTEXT </w:instrText>
      </w:r>
      <w:r>
        <w:fldChar w:fldCharType="separate"/>
      </w:r>
      <w:r>
        <w:t>XXXXX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t>XXXX</w:t>
      </w:r>
      <w:r>
        <w:fldChar w:fldCharType="end"/>
      </w:r>
      <w:bookmarkEnd w:id="5"/>
    </w:p>
    <w:p w14:paraId="0AB6BECA">
      <w:pPr>
        <w:pStyle w:val="198"/>
        <w:framePr/>
        <w:rPr>
          <w:rFonts w:hint="eastAsia"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6"/>
    </w:p>
    <w:p w14:paraId="1FC200E2">
      <w:pPr>
        <w:spacing w:line="240" w:lineRule="auto"/>
        <w:ind w:left="8080"/>
        <w:rPr>
          <w:rFonts w:hint="eastAsia" w:ascii="黑体" w:hAnsi="黑体" w:eastAsia="黑体"/>
          <w:kern w:val="0"/>
          <w:sz w:val="52"/>
          <w:szCs w:val="20"/>
        </w:rPr>
      </w:pPr>
      <w:r>
        <w:rPr>
          <w:rFonts w:ascii="黑体" w:hAnsi="黑体" w:eastAsia="黑体"/>
          <w:kern w:val="0"/>
          <w:sz w:val="52"/>
          <w:szCs w:val="2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r>
        <w:rPr>
          <w:rFonts w:ascii="黑体" w:hAnsi="黑体" w:eastAsia="黑体"/>
          <w:kern w:val="0"/>
          <w:sz w:val="52"/>
          <w:szCs w:val="20"/>
        </w:rPr>
        <w:drawing>
          <wp:anchor distT="0" distB="0" distL="114300" distR="114300" simplePos="0" relativeHeight="251659264" behindDoc="0" locked="0" layoutInCell="1" allowOverlap="0">
            <wp:simplePos x="0" y="0"/>
            <wp:positionH relativeFrom="page">
              <wp:posOffset>5166360</wp:posOffset>
            </wp:positionH>
            <wp:positionV relativeFrom="page">
              <wp:posOffset>466725</wp:posOffset>
            </wp:positionV>
            <wp:extent cx="1447165" cy="734695"/>
            <wp:effectExtent l="0" t="0" r="635" b="889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447200" cy="734400"/>
                    </a:xfrm>
                    <a:prstGeom prst="rect">
                      <a:avLst/>
                    </a:prstGeom>
                    <a:noFill/>
                    <a:ln>
                      <a:noFill/>
                    </a:ln>
                  </pic:spPr>
                </pic:pic>
              </a:graphicData>
            </a:graphic>
          </wp:anchor>
        </w:drawing>
      </w:r>
    </w:p>
    <w:p w14:paraId="70A8AC19">
      <w:pPr>
        <w:pStyle w:val="52"/>
        <w:framePr w:w="9639" w:h="6976" w:hRule="exact" w:hSpace="0" w:vSpace="0" w:wrap="around" w:hAnchor="page" w:y="6408"/>
        <w:jc w:val="center"/>
        <w:rPr>
          <w:rFonts w:hint="eastAsia" w:ascii="黑体" w:hAnsi="黑体" w:eastAsia="黑体"/>
          <w:b w:val="0"/>
          <w:bCs w:val="0"/>
          <w:w w:val="100"/>
        </w:rPr>
      </w:pPr>
    </w:p>
    <w:p w14:paraId="11DF3EA9">
      <w:pPr>
        <w:pStyle w:val="199"/>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Pr>
          <w:rFonts w:hint="eastAsia"/>
        </w:rPr>
        <w:t xml:space="preserve">餐具和餐桌用凹形器皿  </w:t>
      </w:r>
    </w:p>
    <w:p w14:paraId="3C738B5F">
      <w:pPr>
        <w:pStyle w:val="199"/>
        <w:framePr w:h="6974" w:hRule="exact" w:wrap="around" w:x="1419" w:anchorLock="1"/>
        <w:rPr>
          <w:rFonts w:hint="eastAsia"/>
        </w:rPr>
      </w:pPr>
      <w:r>
        <w:rPr>
          <w:rFonts w:hint="eastAsia"/>
        </w:rPr>
        <w:t>第6部分：</w:t>
      </w:r>
      <w:bookmarkStart w:id="8" w:name="_Hlk224221366"/>
      <w:r>
        <w:rPr>
          <w:rFonts w:hint="eastAsia"/>
        </w:rPr>
        <w:t>漆保护轻微镀银餐桌用器皿</w:t>
      </w:r>
      <w:bookmarkEnd w:id="8"/>
      <w:r>
        <w:fldChar w:fldCharType="end"/>
      </w:r>
      <w:bookmarkEnd w:id="7"/>
    </w:p>
    <w:p w14:paraId="37B69B45">
      <w:pPr>
        <w:framePr w:w="9639" w:h="6974" w:hRule="exact" w:wrap="around" w:vAnchor="page" w:hAnchor="page" w:x="1419" w:y="6408" w:anchorLock="1"/>
        <w:ind w:left="-1418"/>
      </w:pPr>
    </w:p>
    <w:p w14:paraId="736F8526">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9" w:name="ESTD_NAME"/>
      <w:r>
        <w:rPr>
          <w:rFonts w:eastAsia="黑体"/>
          <w:szCs w:val="28"/>
        </w:rPr>
        <w:instrText xml:space="preserve"> FORMTEXT </w:instrText>
      </w:r>
      <w:r>
        <w:rPr>
          <w:rFonts w:eastAsia="黑体"/>
          <w:szCs w:val="28"/>
        </w:rPr>
        <w:fldChar w:fldCharType="separate"/>
      </w:r>
      <w:r>
        <w:rPr>
          <w:rFonts w:hint="eastAsia" w:eastAsia="黑体"/>
          <w:szCs w:val="28"/>
        </w:rPr>
        <w:t>Materials and articles in contact withfoodstuffs-Cutlery and table holloware -</w:t>
      </w:r>
    </w:p>
    <w:p w14:paraId="1853EFE7">
      <w:pPr>
        <w:pStyle w:val="127"/>
        <w:framePr w:w="9639" w:h="6974" w:hRule="exact" w:wrap="around" w:vAnchor="page" w:hAnchor="page" w:x="1419" w:y="6408" w:anchorLock="1"/>
        <w:textAlignment w:val="bottom"/>
        <w:rPr>
          <w:rFonts w:eastAsia="黑体"/>
          <w:szCs w:val="28"/>
        </w:rPr>
      </w:pPr>
      <w:r>
        <w:rPr>
          <w:rFonts w:hint="eastAsia" w:eastAsia="黑体"/>
          <w:szCs w:val="28"/>
        </w:rPr>
        <w:t>Part 6:Lightly silver-plated table hollowareprotected by lacquer</w:t>
      </w:r>
      <w:r>
        <w:rPr>
          <w:rFonts w:eastAsia="黑体"/>
          <w:szCs w:val="28"/>
        </w:rPr>
        <w:fldChar w:fldCharType="end"/>
      </w:r>
      <w:bookmarkEnd w:id="9"/>
    </w:p>
    <w:p w14:paraId="67273660">
      <w:pPr>
        <w:framePr w:w="9639" w:h="6974" w:hRule="exact" w:wrap="around" w:vAnchor="page" w:hAnchor="page" w:x="1419" w:y="6408" w:anchorLock="1"/>
        <w:spacing w:line="760" w:lineRule="exact"/>
        <w:ind w:left="-1418"/>
      </w:pPr>
    </w:p>
    <w:p w14:paraId="665DE953">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10" w:name="IN_STD_CODE"/>
      <w:r>
        <w:rPr>
          <w:rFonts w:eastAsia="黑体"/>
          <w:szCs w:val="28"/>
        </w:rPr>
        <w:instrText xml:space="preserve"> FORMTEXT </w:instrText>
      </w:r>
      <w:r>
        <w:rPr>
          <w:rFonts w:eastAsia="黑体"/>
          <w:szCs w:val="28"/>
        </w:rPr>
        <w:fldChar w:fldCharType="separate"/>
      </w:r>
      <w:r>
        <w:rPr>
          <w:rFonts w:hint="eastAsia" w:eastAsia="黑体"/>
          <w:szCs w:val="28"/>
        </w:rPr>
        <w:t>（ISO 8442-6:2000，IDT）</w:t>
      </w:r>
      <w:r>
        <w:rPr>
          <w:rFonts w:eastAsia="黑体"/>
          <w:szCs w:val="28"/>
        </w:rPr>
        <w:fldChar w:fldCharType="end"/>
      </w:r>
      <w:bookmarkEnd w:id="10"/>
    </w:p>
    <w:p w14:paraId="3BCCF6EF">
      <w:pPr>
        <w:pStyle w:val="127"/>
        <w:framePr w:w="9639" w:h="6974" w:hRule="exact" w:wrap="around" w:vAnchor="page" w:hAnchor="page" w:x="1419" w:y="6408" w:anchorLock="1"/>
        <w:spacing w:before="440" w:after="160"/>
        <w:textAlignment w:val="bottom"/>
        <w:rPr>
          <w:sz w:val="24"/>
          <w:szCs w:val="28"/>
        </w:rPr>
      </w:pPr>
      <w:bookmarkStart w:id="33" w:name="_GoBack"/>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bookmarkEnd w:id="33"/>
    </w:p>
    <w:p w14:paraId="412A0A3D">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04D790B8">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5CD78C0E">
      <w:pPr>
        <w:pStyle w:val="195"/>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5424CB2D">
      <w:pPr>
        <w:pStyle w:val="196"/>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2293723D">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w:drawing>
          <wp:anchor distT="0" distB="0" distL="114300" distR="114300" simplePos="0" relativeHeight="251662336" behindDoc="0" locked="0" layoutInCell="1" allowOverlap="1">
            <wp:simplePos x="0" y="0"/>
            <wp:positionH relativeFrom="column">
              <wp:posOffset>1610360</wp:posOffset>
            </wp:positionH>
            <wp:positionV relativeFrom="paragraph">
              <wp:posOffset>8245475</wp:posOffset>
            </wp:positionV>
            <wp:extent cx="2869565" cy="546100"/>
            <wp:effectExtent l="0" t="0" r="0" b="698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69324" cy="545919"/>
                    </a:xfrm>
                    <a:prstGeom prst="rect">
                      <a:avLst/>
                    </a:prstGeom>
                  </pic:spPr>
                </pic:pic>
              </a:graphicData>
            </a:graphic>
          </wp:anchor>
        </w:drawing>
      </w:r>
      <w:r>
        <w:rPr>
          <w:rFonts w:hint="eastAsia" w:ascii="宋体" w:hAnsi="宋体"/>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r>
        <w:rPr>
          <w:rFonts w:hint="eastAsia" w:ascii="宋体" w:hAnsi="宋体"/>
          <w:sz w:val="28"/>
          <w:szCs w:val="28"/>
        </w:rPr>
        <w:t xml:space="preserve">`                                                                                                                                                                                                                                                                                                                                                                                                                                                                                                                                                                                                                                                                                                                                                                                                                                                                                                                                                                                                                                                                                                                                                                                                                                                                                                                                                                                                                                                                                                                                                                                                                                                                                                                                                                                                                                                                                                                                                                                                                                                                                                                                                                                                                                                                                                                                                                                                                                                                                                                                                                                                                                                                                                                                                                                                                                                                                                                                                                                                                                                                                                                                                                                                                                                                                                                                                                                                                                                                                                                                                                                                                                                                                                                                                                                                                                                                                                                                                                                                                                                                                                                                                                                                               </w:t>
      </w:r>
      <w:r>
        <w:rPr>
          <w:rFonts w:hint="eastAsia" w:ascii="宋体" w:hAnsi="宋体"/>
          <w:sz w:val="28"/>
          <w:szCs w:val="28"/>
        </w:rPr>
        <w:t xml:space="preserve">                                                                                                                                                                                                                                                                                                                                                                                                                                                                                                                                                                                                                                                                                                                                                                                                                                                                                                                                                                                                                                                                                                                                                                                                                                                                                                                                                                                                                                                                                                                                                                                                                                                                                                                                                                                                                                                                                                                                                                                                                                                                                                                                                                                                                                                                                                                                                                                                                                                                                                                                                                                                                                                                                                                                                                                                                                                                                                                                                                                                                                                                                                                                                                                                                                                                                                                                                                                                                                                                                                                                                                                                                                                                                                                                                                                                                                                                                                                                                                                                                                                                                                                                                                                                                </w:t>
      </w:r>
      <w:r>
        <w:rPr>
          <w:rFonts w:hint="eastAsia" w:ascii="宋体" w:hAnsi="宋体"/>
          <w:sz w:val="28"/>
          <w:szCs w:val="28"/>
        </w:rPr>
        <w:t xml:space="preserve">                                                                                                                                                                                                                                                                                                                                                                                                                                                                                                                                                                                                                                                                                                                                                                                                                                                                                                                                                                                                                                                                                                                                                                                                                                                                                                                                                                                                                                                                                                                                                                                                                                                                                                                                                                                                                                                                                                                                                                                                                                                                                                                                                                                                                                                                                                                                                                                                                                                                                                                                                                                                                                                                                                                                                                                                                                                                                                                                                                                                                                                                                                                                                                                                                                                                                                                                                                                                                                                                                                                                                                                                                                                                                                                                                                                                                                                                                                                                                                                                                                                                                                                                                                                                                </w:t>
      </w:r>
      <w:r>
        <w:rPr>
          <w:rFonts w:hint="eastAsia" w:ascii="宋体" w:hAnsi="宋体"/>
          <w:sz w:val="28"/>
          <w:szCs w:val="28"/>
        </w:rPr>
        <w:t xml:space="preserve">                                                                                                                                                                                                                                                                                                                                                                                                                                                                                                                                                                                                                                                                                                                                                                                                                                                                                                                                                                                                                                                                                                                                                                                                                                                                                                                                                                                                                                                                                                                                                                                                                                                                                                                                                                                                                                                                                                                                                                                                                                                                                                                                                                                                                                                                                                                                                                                                                                                                                                                                                                                                                                                                                                                                                                                                                                                                                                                                                                                                                                                                                                                                                                                                                                                                                                                                                                                                                                                                                                                                                                                                                                                                                                                                                                                                                                                                                                                                                                                                                                            </w:t>
      </w:r>
    </w:p>
    <w:p w14:paraId="0D924F6D">
      <w:pPr>
        <w:pStyle w:val="91"/>
        <w:spacing w:after="360"/>
      </w:pPr>
      <w:bookmarkStart w:id="20" w:name="BookMark2"/>
      <w:r>
        <w:rPr>
          <w:spacing w:val="320"/>
        </w:rPr>
        <w:t>前</w:t>
      </w:r>
      <w:r>
        <w:t>言</w:t>
      </w:r>
    </w:p>
    <w:p w14:paraId="40FDC417">
      <w:pPr>
        <w:pStyle w:val="58"/>
        <w:spacing w:line="360" w:lineRule="auto"/>
        <w:ind w:firstLine="420"/>
      </w:pPr>
    </w:p>
    <w:p w14:paraId="625888BC">
      <w:pPr>
        <w:pStyle w:val="58"/>
        <w:spacing w:line="360" w:lineRule="auto"/>
        <w:ind w:firstLine="420"/>
      </w:pPr>
      <w:r>
        <w:rPr>
          <w:rFonts w:hint="eastAsia"/>
        </w:rPr>
        <w:t>本文件按照GB/T 1.1-2020《标准化工作导则 第1部分：标准化文件的结构和起草规则》的规定起草。</w:t>
      </w:r>
    </w:p>
    <w:p w14:paraId="79828117">
      <w:pPr>
        <w:pStyle w:val="58"/>
        <w:spacing w:line="360" w:lineRule="auto"/>
        <w:ind w:firstLine="420"/>
      </w:pPr>
      <w:r>
        <w:rPr>
          <w:rFonts w:hint="eastAsia"/>
        </w:rPr>
        <w:t>本文件使用翻译法等同采用 ISO 8442-6：2000《接触食物的制品及材料一餐具和餐桌用凹形器皿  第6部分：漆保护轻微镀银餐桌用器皿》。</w:t>
      </w:r>
    </w:p>
    <w:p w14:paraId="1E9F45AB">
      <w:pPr>
        <w:pStyle w:val="58"/>
        <w:spacing w:line="360" w:lineRule="auto"/>
        <w:ind w:firstLine="420"/>
      </w:pPr>
      <w:r>
        <w:rPr>
          <w:rFonts w:hint="eastAsia"/>
        </w:rPr>
        <w:t>本文件做了下列最小限度的编辑性改动：</w:t>
      </w:r>
    </w:p>
    <w:p w14:paraId="5F4083C4">
      <w:pPr>
        <w:pStyle w:val="58"/>
        <w:spacing w:line="360" w:lineRule="auto"/>
        <w:ind w:firstLine="420"/>
      </w:pPr>
      <w:r>
        <w:rPr>
          <w:rFonts w:hint="eastAsia"/>
        </w:rPr>
        <w:t>——删除了国际标准的前言和引言;</w:t>
      </w:r>
    </w:p>
    <w:p w14:paraId="490BDD74">
      <w:pPr>
        <w:pStyle w:val="58"/>
        <w:spacing w:line="360" w:lineRule="auto"/>
        <w:ind w:firstLine="420"/>
      </w:pPr>
      <w:r>
        <w:rPr>
          <w:rFonts w:hint="eastAsia"/>
        </w:rPr>
        <w:t>——修改了规范性引用的国际标准，以等同采用的国家标准代替。</w:t>
      </w:r>
    </w:p>
    <w:p w14:paraId="673B9084">
      <w:pPr>
        <w:pStyle w:val="58"/>
        <w:spacing w:line="360" w:lineRule="auto"/>
        <w:ind w:firstLine="420"/>
      </w:pPr>
      <w:r>
        <w:rPr>
          <w:rFonts w:hint="eastAsia"/>
        </w:rPr>
        <w:t>请注意本文件的某些内容可能涉及专利，本文件的发布机构不承担识别这些专利的责任。</w:t>
      </w:r>
    </w:p>
    <w:p w14:paraId="73240EF0">
      <w:pPr>
        <w:pStyle w:val="58"/>
        <w:spacing w:line="360" w:lineRule="auto"/>
        <w:ind w:firstLine="420"/>
      </w:pPr>
      <w:r>
        <w:rPr>
          <w:rFonts w:hint="eastAsia"/>
        </w:rPr>
        <w:t>ISO 8442由以下部分组成，总标题为接触食物的制品及材料--</w:t>
      </w:r>
      <w:r>
        <w:rPr>
          <w:rFonts w:hAnsi="宋体"/>
        </w:rPr>
        <w:t>餐具和</w:t>
      </w:r>
      <w:r>
        <w:rPr>
          <w:rFonts w:hint="eastAsia" w:hAnsi="宋体"/>
        </w:rPr>
        <w:t>餐桌用凹形器皿</w:t>
      </w:r>
      <w:r>
        <w:rPr>
          <w:rFonts w:hint="eastAsia"/>
        </w:rPr>
        <w:t>：</w:t>
      </w:r>
    </w:p>
    <w:p w14:paraId="495DF81C">
      <w:pPr>
        <w:pStyle w:val="58"/>
        <w:spacing w:line="360" w:lineRule="auto"/>
        <w:ind w:firstLine="420"/>
      </w:pPr>
      <w:r>
        <w:rPr>
          <w:rFonts w:hint="eastAsia"/>
        </w:rPr>
        <w:t>ISO 8442包括以下部分：</w:t>
      </w:r>
    </w:p>
    <w:p w14:paraId="35042BCE">
      <w:pPr>
        <w:pStyle w:val="58"/>
        <w:spacing w:line="360" w:lineRule="auto"/>
        <w:ind w:firstLine="420"/>
      </w:pPr>
      <w:r>
        <w:rPr>
          <w:rFonts w:hint="eastAsia"/>
        </w:rPr>
        <w:t>第1部分：食品制备用刀具技术要求</w:t>
      </w:r>
    </w:p>
    <w:p w14:paraId="7C114B4F">
      <w:pPr>
        <w:pStyle w:val="58"/>
        <w:spacing w:line="360" w:lineRule="auto"/>
        <w:ind w:firstLine="420"/>
      </w:pPr>
      <w:r>
        <w:rPr>
          <w:rFonts w:hint="eastAsia"/>
        </w:rPr>
        <w:t>第2部分：不锈钢和镀银餐具技术要求</w:t>
      </w:r>
    </w:p>
    <w:p w14:paraId="3E830EDC">
      <w:pPr>
        <w:pStyle w:val="58"/>
        <w:spacing w:line="360" w:lineRule="auto"/>
        <w:ind w:firstLine="420"/>
      </w:pPr>
      <w:r>
        <w:rPr>
          <w:rFonts w:hint="eastAsia"/>
        </w:rPr>
        <w:t>第3部分：镀银餐用和装饰用器皿技术要求</w:t>
      </w:r>
    </w:p>
    <w:p w14:paraId="44DDDCD2">
      <w:pPr>
        <w:pStyle w:val="58"/>
        <w:spacing w:line="360" w:lineRule="auto"/>
        <w:ind w:firstLine="420"/>
      </w:pPr>
      <w:r>
        <w:rPr>
          <w:rFonts w:hint="eastAsia"/>
        </w:rPr>
        <w:t>第4部分：镀金餐具技术要求</w:t>
      </w:r>
    </w:p>
    <w:p w14:paraId="0E6D4866">
      <w:pPr>
        <w:pStyle w:val="58"/>
        <w:spacing w:line="360" w:lineRule="auto"/>
        <w:ind w:firstLine="420"/>
      </w:pPr>
      <w:r>
        <w:rPr>
          <w:rFonts w:hint="eastAsia"/>
        </w:rPr>
        <w:t>第5部分：刀具锋利度和耐用度测试方法</w:t>
      </w:r>
    </w:p>
    <w:p w14:paraId="117F17F2">
      <w:pPr>
        <w:pStyle w:val="58"/>
        <w:spacing w:line="360" w:lineRule="auto"/>
        <w:ind w:firstLine="420"/>
      </w:pPr>
      <w:r>
        <w:rPr>
          <w:rFonts w:hint="eastAsia"/>
        </w:rPr>
        <w:t>第6部分：漆保护轻微镀银餐桌用器皿</w:t>
      </w:r>
    </w:p>
    <w:p w14:paraId="53C65CCE">
      <w:pPr>
        <w:pStyle w:val="58"/>
        <w:spacing w:line="360" w:lineRule="auto"/>
        <w:ind w:firstLine="420"/>
      </w:pPr>
      <w:r>
        <w:rPr>
          <w:rFonts w:hint="eastAsia"/>
        </w:rPr>
        <w:t>第7部分：银、其他贵金属及其合金制成的餐桌餐具技术要求</w:t>
      </w:r>
    </w:p>
    <w:p w14:paraId="7BE32605">
      <w:pPr>
        <w:pStyle w:val="58"/>
        <w:spacing w:line="360" w:lineRule="auto"/>
        <w:ind w:firstLine="420"/>
      </w:pPr>
      <w:r>
        <w:rPr>
          <w:rFonts w:hint="eastAsia"/>
        </w:rPr>
        <w:t>第8部分：银制餐用及装饰用器皿技术要求</w:t>
      </w:r>
    </w:p>
    <w:p w14:paraId="54369031">
      <w:pPr>
        <w:pStyle w:val="58"/>
        <w:spacing w:line="360" w:lineRule="auto"/>
        <w:ind w:firstLine="420"/>
      </w:pPr>
      <w:r>
        <w:rPr>
          <w:rFonts w:hint="eastAsia"/>
        </w:rPr>
        <w:t>第9 部分：陶瓷刀的技术要求</w:t>
      </w:r>
    </w:p>
    <w:p w14:paraId="4C4683BD">
      <w:pPr>
        <w:pStyle w:val="58"/>
        <w:spacing w:line="360" w:lineRule="auto"/>
        <w:ind w:firstLine="420"/>
      </w:pPr>
      <w:bookmarkStart w:id="21" w:name="_Hlk225841317"/>
      <w:r>
        <w:rPr>
          <w:rFonts w:hint="eastAsia"/>
        </w:rPr>
        <w:t>附录 A到附录I 作为ISO 8442的规范性内容。附录 J 仅为资料性内容。</w:t>
      </w:r>
    </w:p>
    <w:bookmarkEnd w:id="21"/>
    <w:p w14:paraId="4838BEA1">
      <w:pPr>
        <w:pStyle w:val="58"/>
        <w:spacing w:line="360" w:lineRule="auto"/>
        <w:ind w:firstLine="420"/>
      </w:pPr>
      <w:r>
        <w:rPr>
          <w:rFonts w:hint="eastAsia"/>
        </w:rPr>
        <w:t xml:space="preserve">本文件由中国轻工业联合会提出。 </w:t>
      </w:r>
    </w:p>
    <w:p w14:paraId="43F5FF94">
      <w:pPr>
        <w:pStyle w:val="58"/>
        <w:spacing w:line="360" w:lineRule="auto"/>
        <w:ind w:firstLine="420"/>
      </w:pPr>
      <w:r>
        <w:rPr>
          <w:rFonts w:hint="eastAsia"/>
        </w:rPr>
        <w:t>本文件由全国金属餐饮及烹饪器具标准化技术委员会（SAC/TC410）归口。</w:t>
      </w:r>
    </w:p>
    <w:p w14:paraId="4C4BFD84">
      <w:pPr>
        <w:pStyle w:val="58"/>
        <w:spacing w:line="360" w:lineRule="auto"/>
        <w:ind w:firstLine="420"/>
      </w:pPr>
      <w:r>
        <w:t>本文件起草单位：中国日用五金技术开发中心、中国五金制品协会、爱仕达股份有限公司</w:t>
      </w:r>
      <w:r>
        <w:rPr>
          <w:rFonts w:hint="eastAsia"/>
        </w:rPr>
        <w:t>、</w:t>
      </w:r>
      <w:r>
        <w:t>中国</w:t>
      </w:r>
      <w:r>
        <w:rPr>
          <w:rFonts w:hint="eastAsia"/>
        </w:rPr>
        <w:t>质量</w:t>
      </w:r>
      <w:r>
        <w:t>认证中心有限公司</w:t>
      </w:r>
      <w:r>
        <w:rPr>
          <w:rFonts w:hint="eastAsia"/>
        </w:rPr>
        <w:t>、</w:t>
      </w:r>
      <w:r>
        <w:t>广东凌丰家居用品股份有限公司</w:t>
      </w:r>
      <w:r>
        <w:rPr>
          <w:rFonts w:hint="eastAsia"/>
        </w:rPr>
        <w:t>、</w:t>
      </w:r>
      <w:r>
        <w:t>浙江炊大王炊具有限公司、广东省五金制品协会。</w:t>
      </w:r>
    </w:p>
    <w:p w14:paraId="12D24801">
      <w:pPr>
        <w:pStyle w:val="58"/>
        <w:spacing w:line="360" w:lineRule="auto"/>
        <w:ind w:firstLine="420"/>
      </w:pPr>
      <w:r>
        <w:t>本文件主要起草人：</w:t>
      </w:r>
      <w:r>
        <w:rPr>
          <w:rFonts w:hint="eastAsia"/>
        </w:rPr>
        <w:t>吴庆</w:t>
      </w:r>
      <w:r>
        <w:t>、柳润峰、</w:t>
      </w:r>
      <w:r>
        <w:rPr>
          <w:rFonts w:hint="eastAsia"/>
        </w:rPr>
        <w:t>薛瑞刚、陈合林、</w:t>
      </w:r>
      <w:r>
        <w:t>崔雁燕、</w:t>
      </w:r>
      <w:r>
        <w:rPr>
          <w:rFonts w:hint="eastAsia"/>
        </w:rPr>
        <w:t>余敬源、</w:t>
      </w:r>
      <w:r>
        <w:t>蒲万见、徐德军。</w:t>
      </w:r>
    </w:p>
    <w:p w14:paraId="6883F595">
      <w:pPr>
        <w:pStyle w:val="58"/>
        <w:spacing w:line="360" w:lineRule="auto"/>
        <w:ind w:firstLine="420"/>
      </w:pPr>
      <w:r>
        <w:rPr>
          <w:rFonts w:hint="eastAsia"/>
        </w:rPr>
        <w:t>本文件为首次发布。</w:t>
      </w:r>
    </w:p>
    <w:p w14:paraId="297155C8">
      <w:pPr>
        <w:pStyle w:val="58"/>
        <w:spacing w:line="360" w:lineRule="auto"/>
        <w:ind w:firstLine="420"/>
      </w:pPr>
    </w:p>
    <w:p w14:paraId="7BF4AEC5">
      <w:pPr>
        <w:pStyle w:val="58"/>
        <w:spacing w:line="360" w:lineRule="auto"/>
        <w:ind w:firstLine="420"/>
        <w:sectPr>
          <w:headerReference r:id="rId11" w:type="default"/>
          <w:footerReference r:id="rId13" w:type="default"/>
          <w:headerReference r:id="rId12" w:type="even"/>
          <w:pgSz w:w="11906" w:h="16838"/>
          <w:pgMar w:top="567" w:right="1134" w:bottom="1134" w:left="1134" w:header="1418" w:footer="1134" w:gutter="284"/>
          <w:cols w:space="425" w:num="1"/>
          <w:formProt w:val="0"/>
          <w:docGrid w:linePitch="312" w:charSpace="0"/>
        </w:sectPr>
      </w:pPr>
    </w:p>
    <w:p w14:paraId="74E1C8F4">
      <w:pPr>
        <w:pStyle w:val="58"/>
        <w:spacing w:line="360" w:lineRule="auto"/>
        <w:ind w:firstLine="420"/>
      </w:pPr>
    </w:p>
    <w:p w14:paraId="06C5E59E">
      <w:pPr>
        <w:pStyle w:val="58"/>
        <w:spacing w:line="360" w:lineRule="auto"/>
        <w:ind w:firstLine="420"/>
      </w:pPr>
    </w:p>
    <w:p w14:paraId="04181842">
      <w:pPr>
        <w:pStyle w:val="58"/>
        <w:spacing w:line="360" w:lineRule="auto"/>
        <w:ind w:firstLine="420"/>
      </w:pPr>
      <w:r>
        <w:rPr>
          <w:rFonts w:hint="eastAsia"/>
        </w:rPr>
        <w:t>目录</w:t>
      </w:r>
    </w:p>
    <w:p w14:paraId="3271A891">
      <w:pPr>
        <w:pStyle w:val="58"/>
        <w:spacing w:line="360" w:lineRule="auto"/>
        <w:ind w:firstLine="420"/>
      </w:pPr>
      <w:r>
        <w:rPr>
          <w:rFonts w:hint="eastAsia"/>
        </w:rPr>
        <w:t>前言                                                                                2</w:t>
      </w:r>
    </w:p>
    <w:p w14:paraId="4D5C9D7D">
      <w:pPr>
        <w:pStyle w:val="58"/>
        <w:spacing w:line="360" w:lineRule="auto"/>
        <w:ind w:firstLine="420"/>
      </w:pPr>
      <w:r>
        <w:rPr>
          <w:rFonts w:hint="eastAsia"/>
        </w:rPr>
        <w:t>1范围                                                                               3</w:t>
      </w:r>
    </w:p>
    <w:p w14:paraId="7512A3F1">
      <w:pPr>
        <w:pStyle w:val="58"/>
        <w:spacing w:line="360" w:lineRule="auto"/>
        <w:ind w:firstLine="420"/>
      </w:pPr>
      <w:r>
        <w:rPr>
          <w:rFonts w:hint="eastAsia"/>
        </w:rPr>
        <w:t>2规范性引用文件                                                                     3</w:t>
      </w:r>
    </w:p>
    <w:p w14:paraId="67284517">
      <w:pPr>
        <w:pStyle w:val="58"/>
        <w:spacing w:line="360" w:lineRule="auto"/>
        <w:ind w:firstLine="420"/>
      </w:pPr>
      <w:r>
        <w:rPr>
          <w:rFonts w:hint="eastAsia"/>
        </w:rPr>
        <w:t>3术语和定义                                                                         4</w:t>
      </w:r>
    </w:p>
    <w:p w14:paraId="0EEF7CF8">
      <w:pPr>
        <w:pStyle w:val="58"/>
        <w:spacing w:line="360" w:lineRule="auto"/>
        <w:ind w:firstLine="420"/>
      </w:pPr>
      <w:r>
        <w:rPr>
          <w:rFonts w:hint="eastAsia"/>
        </w:rPr>
        <w:t>4材料                                                                               5</w:t>
      </w:r>
    </w:p>
    <w:p w14:paraId="1499E201">
      <w:pPr>
        <w:pStyle w:val="58"/>
        <w:spacing w:line="360" w:lineRule="auto"/>
        <w:ind w:firstLine="420"/>
      </w:pPr>
      <w:r>
        <w:rPr>
          <w:rFonts w:hint="eastAsia"/>
        </w:rPr>
        <w:t>5结构                                                                               6</w:t>
      </w:r>
    </w:p>
    <w:p w14:paraId="6E8004C5">
      <w:pPr>
        <w:pStyle w:val="58"/>
        <w:spacing w:line="360" w:lineRule="auto"/>
        <w:ind w:firstLine="420"/>
      </w:pPr>
      <w:r>
        <w:rPr>
          <w:rFonts w:hint="eastAsia"/>
        </w:rPr>
        <w:t>6性能                                                                               6</w:t>
      </w:r>
    </w:p>
    <w:p w14:paraId="4043F38D">
      <w:pPr>
        <w:pStyle w:val="58"/>
        <w:spacing w:line="360" w:lineRule="auto"/>
        <w:ind w:firstLine="420"/>
      </w:pPr>
      <w:r>
        <w:rPr>
          <w:rFonts w:hint="eastAsia"/>
        </w:rPr>
        <w:t>7标志与标签                                                                         8</w:t>
      </w:r>
    </w:p>
    <w:p w14:paraId="09E336FA">
      <w:pPr>
        <w:pStyle w:val="58"/>
        <w:spacing w:line="360" w:lineRule="auto"/>
        <w:ind w:firstLine="420"/>
      </w:pPr>
      <w:r>
        <w:t>附录 A（规范性）：</w:t>
      </w:r>
      <w:r>
        <w:rPr>
          <w:rFonts w:hint="eastAsia"/>
        </w:rPr>
        <w:t>漆层抗</w:t>
      </w:r>
      <w:r>
        <w:t>变色与</w:t>
      </w:r>
      <w:r>
        <w:rPr>
          <w:rFonts w:hint="eastAsia"/>
        </w:rPr>
        <w:t>抗脱落</w:t>
      </w:r>
      <w:r>
        <w:t>试验方法</w:t>
      </w:r>
      <w:r>
        <w:rPr>
          <w:rFonts w:hint="eastAsia"/>
        </w:rPr>
        <w:t xml:space="preserve">                                        </w:t>
      </w:r>
      <w:r>
        <w:t>9</w:t>
      </w:r>
    </w:p>
    <w:p w14:paraId="6CC0C49F">
      <w:pPr>
        <w:pStyle w:val="58"/>
        <w:spacing w:line="360" w:lineRule="auto"/>
        <w:ind w:firstLine="420"/>
      </w:pPr>
      <w:r>
        <w:t>附录 B（规范性）：涂漆</w:t>
      </w:r>
      <w:r>
        <w:rPr>
          <w:rFonts w:hint="eastAsia"/>
        </w:rPr>
        <w:t>、</w:t>
      </w:r>
      <w:r>
        <w:t>轻镀</w:t>
      </w:r>
      <w:r>
        <w:rPr>
          <w:rFonts w:hint="eastAsia"/>
        </w:rPr>
        <w:t>镀银的餐用和装饰用</w:t>
      </w:r>
      <w:r>
        <w:t>器皿</w:t>
      </w:r>
      <w:r>
        <w:rPr>
          <w:rFonts w:hint="eastAsia"/>
        </w:rPr>
        <w:t>上镀</w:t>
      </w:r>
      <w:r>
        <w:t>银层厚度</w:t>
      </w:r>
      <w:r>
        <w:rPr>
          <w:rFonts w:hint="eastAsia"/>
        </w:rPr>
        <w:t>和</w:t>
      </w:r>
      <w:r>
        <w:t>银含量</w:t>
      </w:r>
      <w:r>
        <w:rPr>
          <w:rFonts w:hint="eastAsia"/>
        </w:rPr>
        <w:t>的</w:t>
      </w:r>
      <w:r>
        <w:t>测定试验方法</w:t>
      </w:r>
      <w:r>
        <w:rPr>
          <w:rFonts w:hint="eastAsia"/>
        </w:rPr>
        <w:t xml:space="preserve"> </w:t>
      </w:r>
      <w:r>
        <w:t>10</w:t>
      </w:r>
    </w:p>
    <w:p w14:paraId="3A44039E">
      <w:pPr>
        <w:pStyle w:val="58"/>
        <w:spacing w:line="360" w:lineRule="auto"/>
        <w:ind w:firstLine="420"/>
      </w:pPr>
      <w:r>
        <w:t>附录 C（规范性）：</w:t>
      </w:r>
      <w:r>
        <w:rPr>
          <w:rFonts w:hint="eastAsia"/>
        </w:rPr>
        <w:t>漆层</w:t>
      </w:r>
      <w:r>
        <w:t>耐划伤试验方法</w:t>
      </w:r>
      <w:r>
        <w:rPr>
          <w:rFonts w:hint="eastAsia"/>
        </w:rPr>
        <w:t xml:space="preserve">                                                </w:t>
      </w:r>
      <w:r>
        <w:t>11</w:t>
      </w:r>
    </w:p>
    <w:p w14:paraId="5E4BA7FA">
      <w:pPr>
        <w:pStyle w:val="58"/>
        <w:spacing w:line="360" w:lineRule="auto"/>
        <w:ind w:firstLine="420"/>
      </w:pPr>
      <w:r>
        <w:t>附录 D（规范性）：漆层</w:t>
      </w:r>
      <w:r>
        <w:rPr>
          <w:rFonts w:hint="eastAsia"/>
        </w:rPr>
        <w:t>耐</w:t>
      </w:r>
      <w:r>
        <w:t>紫外线辐射试验方法</w:t>
      </w:r>
      <w:r>
        <w:rPr>
          <w:rFonts w:hint="eastAsia"/>
        </w:rPr>
        <w:t xml:space="preserve">                                         </w:t>
      </w:r>
      <w:r>
        <w:t>13</w:t>
      </w:r>
    </w:p>
    <w:p w14:paraId="17780B06">
      <w:pPr>
        <w:pStyle w:val="58"/>
        <w:spacing w:line="360" w:lineRule="auto"/>
        <w:ind w:firstLine="420"/>
      </w:pPr>
      <w:r>
        <w:t>附录 E（规范性）：矩形</w:t>
      </w:r>
      <w:r>
        <w:rPr>
          <w:rFonts w:hint="eastAsia"/>
        </w:rPr>
        <w:t>、</w:t>
      </w:r>
      <w:r>
        <w:t>方形</w:t>
      </w:r>
      <w:r>
        <w:rPr>
          <w:rFonts w:hint="eastAsia"/>
        </w:rPr>
        <w:t>碟和盘抗扭强度</w:t>
      </w:r>
      <w:r>
        <w:t>试验方法</w:t>
      </w:r>
      <w:r>
        <w:rPr>
          <w:rFonts w:hint="eastAsia"/>
        </w:rPr>
        <w:t xml:space="preserve">                                 </w:t>
      </w:r>
      <w:r>
        <w:t>14</w:t>
      </w:r>
    </w:p>
    <w:p w14:paraId="734B998D">
      <w:pPr>
        <w:pStyle w:val="58"/>
        <w:spacing w:line="360" w:lineRule="auto"/>
        <w:ind w:firstLine="420"/>
      </w:pPr>
      <w:r>
        <w:t>附录 F（规范性）：</w:t>
      </w:r>
      <w:r>
        <w:rPr>
          <w:rFonts w:hint="eastAsia"/>
        </w:rPr>
        <w:t>碟和盘的抗凹变</w:t>
      </w:r>
      <w:r>
        <w:t>试验方法</w:t>
      </w:r>
      <w:r>
        <w:rPr>
          <w:rFonts w:hint="eastAsia"/>
        </w:rPr>
        <w:t xml:space="preserve">                                           </w:t>
      </w:r>
      <w:r>
        <w:t>16</w:t>
      </w:r>
    </w:p>
    <w:p w14:paraId="364EB527">
      <w:pPr>
        <w:pStyle w:val="58"/>
        <w:spacing w:line="360" w:lineRule="auto"/>
        <w:ind w:firstLine="420"/>
      </w:pPr>
      <w:r>
        <w:t>附录 G（规范性）：器皿</w:t>
      </w:r>
      <w:r>
        <w:rPr>
          <w:rFonts w:hint="eastAsia"/>
        </w:rPr>
        <w:t>负载</w:t>
      </w:r>
      <w:r>
        <w:t>强度试验方法</w:t>
      </w:r>
      <w:r>
        <w:rPr>
          <w:rFonts w:hint="eastAsia"/>
        </w:rPr>
        <w:t xml:space="preserve">                                             </w:t>
      </w:r>
      <w:r>
        <w:t>17</w:t>
      </w:r>
    </w:p>
    <w:p w14:paraId="0488679F">
      <w:pPr>
        <w:pStyle w:val="58"/>
        <w:spacing w:line="360" w:lineRule="auto"/>
        <w:ind w:firstLine="420"/>
      </w:pPr>
      <w:r>
        <w:t>附录 H（规范性）：附件强度试验方法</w:t>
      </w:r>
      <w:r>
        <w:rPr>
          <w:rFonts w:hint="eastAsia"/>
        </w:rPr>
        <w:t xml:space="preserve">                                                 </w:t>
      </w:r>
      <w:r>
        <w:t>18</w:t>
      </w:r>
    </w:p>
    <w:p w14:paraId="7FFBF90D">
      <w:pPr>
        <w:pStyle w:val="58"/>
        <w:spacing w:line="360" w:lineRule="auto"/>
        <w:ind w:firstLine="420"/>
      </w:pPr>
      <w:r>
        <w:t>附录 I（规范性）：</w:t>
      </w:r>
      <w:r>
        <w:rPr>
          <w:rFonts w:hint="eastAsia"/>
        </w:rPr>
        <w:t>倒水</w:t>
      </w:r>
      <w:r>
        <w:t>试验方法</w:t>
      </w:r>
      <w:r>
        <w:rPr>
          <w:rFonts w:hint="eastAsia"/>
        </w:rPr>
        <w:t xml:space="preserve">                                                     </w:t>
      </w:r>
      <w:r>
        <w:t>19</w:t>
      </w:r>
    </w:p>
    <w:p w14:paraId="008E7411">
      <w:pPr>
        <w:pStyle w:val="58"/>
        <w:spacing w:line="360" w:lineRule="auto"/>
        <w:ind w:firstLine="420"/>
      </w:pPr>
      <w:r>
        <w:t>附录 J（</w:t>
      </w:r>
      <w:r>
        <w:rPr>
          <w:rFonts w:hint="eastAsia"/>
        </w:rPr>
        <w:t>资料</w:t>
      </w:r>
      <w:r>
        <w:t>性）：</w:t>
      </w:r>
      <w:r>
        <w:rPr>
          <w:rFonts w:hint="eastAsia"/>
        </w:rPr>
        <w:t>A类</w:t>
      </w:r>
      <w:r>
        <w:t>偏差</w:t>
      </w:r>
      <w:r>
        <w:rPr>
          <w:rFonts w:hint="eastAsia"/>
        </w:rPr>
        <w:t xml:space="preserve">                                                          </w:t>
      </w:r>
      <w:r>
        <w:t>20</w:t>
      </w:r>
    </w:p>
    <w:p w14:paraId="74076BE4">
      <w:pPr>
        <w:pStyle w:val="58"/>
        <w:spacing w:line="360" w:lineRule="auto"/>
        <w:ind w:firstLine="420"/>
      </w:pPr>
      <w:r>
        <w:t>参考文献</w:t>
      </w:r>
      <w:r>
        <w:rPr>
          <w:rFonts w:hint="eastAsia"/>
        </w:rPr>
        <w:t xml:space="preserve">                                                                          </w:t>
      </w:r>
      <w:r>
        <w:t xml:space="preserve"> 21</w:t>
      </w:r>
    </w:p>
    <w:p w14:paraId="5BC3011D">
      <w:pPr>
        <w:pStyle w:val="58"/>
        <w:spacing w:line="360" w:lineRule="auto"/>
        <w:ind w:firstLine="420"/>
      </w:pPr>
    </w:p>
    <w:p w14:paraId="630EA181">
      <w:pPr>
        <w:pStyle w:val="58"/>
        <w:spacing w:line="360" w:lineRule="auto"/>
        <w:ind w:firstLine="420"/>
      </w:pPr>
    </w:p>
    <w:p w14:paraId="4356C840">
      <w:pPr>
        <w:pStyle w:val="58"/>
        <w:spacing w:line="360" w:lineRule="auto"/>
        <w:ind w:firstLine="420"/>
      </w:pPr>
    </w:p>
    <w:p w14:paraId="734D18C9">
      <w:pPr>
        <w:pStyle w:val="58"/>
        <w:spacing w:line="360" w:lineRule="auto"/>
        <w:ind w:firstLine="420"/>
      </w:pPr>
    </w:p>
    <w:p w14:paraId="6FBCD98B">
      <w:pPr>
        <w:pStyle w:val="58"/>
        <w:spacing w:line="360" w:lineRule="auto"/>
        <w:ind w:firstLine="420"/>
      </w:pPr>
    </w:p>
    <w:p w14:paraId="3AF29385">
      <w:pPr>
        <w:pStyle w:val="58"/>
        <w:spacing w:line="360" w:lineRule="auto"/>
        <w:ind w:firstLine="420"/>
      </w:pPr>
    </w:p>
    <w:p w14:paraId="0712300F">
      <w:pPr>
        <w:pStyle w:val="58"/>
        <w:spacing w:line="360" w:lineRule="auto"/>
        <w:ind w:firstLine="420"/>
      </w:pPr>
    </w:p>
    <w:p w14:paraId="5FCA61A6">
      <w:pPr>
        <w:pStyle w:val="58"/>
        <w:spacing w:line="360" w:lineRule="auto"/>
        <w:ind w:firstLine="420"/>
      </w:pPr>
    </w:p>
    <w:p w14:paraId="721111F7">
      <w:pPr>
        <w:pStyle w:val="58"/>
        <w:spacing w:line="360" w:lineRule="auto"/>
        <w:ind w:firstLine="420"/>
      </w:pPr>
    </w:p>
    <w:p w14:paraId="13EB29D1">
      <w:pPr>
        <w:pStyle w:val="58"/>
        <w:spacing w:line="360" w:lineRule="auto"/>
        <w:ind w:firstLine="420"/>
      </w:pPr>
    </w:p>
    <w:p w14:paraId="3FAFFEC8">
      <w:pPr>
        <w:pStyle w:val="58"/>
        <w:spacing w:line="360" w:lineRule="auto"/>
        <w:ind w:firstLine="420"/>
      </w:pPr>
    </w:p>
    <w:bookmarkEnd w:id="20"/>
    <w:p w14:paraId="5DCE1FE9">
      <w:pPr>
        <w:spacing w:line="20" w:lineRule="exact"/>
        <w:jc w:val="center"/>
        <w:rPr>
          <w:rFonts w:hint="eastAsia" w:ascii="黑体" w:hAnsi="黑体" w:eastAsia="黑体"/>
          <w:sz w:val="32"/>
          <w:szCs w:val="32"/>
        </w:rPr>
      </w:pPr>
      <w:bookmarkStart w:id="22" w:name="BookMark4"/>
    </w:p>
    <w:p w14:paraId="47AB2501">
      <w:pPr>
        <w:spacing w:line="20" w:lineRule="exact"/>
        <w:jc w:val="center"/>
        <w:rPr>
          <w:rFonts w:hint="eastAsia" w:ascii="黑体" w:hAnsi="黑体" w:eastAsia="黑体"/>
          <w:sz w:val="32"/>
          <w:szCs w:val="32"/>
        </w:rPr>
      </w:pPr>
    </w:p>
    <w:sdt>
      <w:sdtPr>
        <w:tag w:val="NEW_STAND_NAME"/>
        <w:id w:val="595910757"/>
        <w:lock w:val="sdtLocked"/>
        <w:placeholder>
          <w:docPart w:val="78B038B8CDA14FB896D3A52BE67D1C8A"/>
        </w:placeholder>
      </w:sdtPr>
      <w:sdtEndPr>
        <w:rPr>
          <w:highlight w:val="yellow"/>
        </w:rPr>
      </w:sdtEndPr>
      <w:sdtContent>
        <w:sdt>
          <w:sdtPr>
            <w:tag w:val="NEW_STAND_NAME"/>
            <w:id w:val="147470179"/>
            <w:placeholder>
              <w:docPart w:val="{98ac1904-7948-4a5d-8423-91c68d32408e}"/>
            </w:placeholder>
          </w:sdtPr>
          <w:sdtEndPr>
            <w:rPr>
              <w:highlight w:val="yellow"/>
            </w:rPr>
          </w:sdtEndPr>
          <w:sdtContent>
            <w:p w14:paraId="0BB77EC5">
              <w:pPr>
                <w:pStyle w:val="179"/>
                <w:spacing w:before="240" w:beforeLines="100" w:after="240" w:afterLines="100" w:line="240" w:lineRule="auto"/>
                <w:rPr>
                  <w:rFonts w:hint="eastAsia"/>
                </w:rPr>
              </w:pPr>
              <w:bookmarkStart w:id="23" w:name="NEW_STAND_NAME"/>
              <w:r>
                <w:rPr>
                  <w:rFonts w:hint="eastAsia"/>
                </w:rPr>
                <w:t xml:space="preserve">餐具和餐桌用凹形器具  </w:t>
              </w:r>
            </w:p>
            <w:p w14:paraId="1986F228">
              <w:pPr>
                <w:pStyle w:val="179"/>
                <w:spacing w:before="240" w:beforeLines="100" w:after="240" w:afterLines="100" w:line="240" w:lineRule="auto"/>
                <w:rPr>
                  <w:rFonts w:hint="eastAsia"/>
                </w:rPr>
              </w:pPr>
              <w:r>
                <w:rPr>
                  <w:rFonts w:hint="eastAsia"/>
                </w:rPr>
                <w:t>第6部分：漆保护轻微镀银餐桌用器皿</w:t>
              </w:r>
            </w:p>
          </w:sdtContent>
        </w:sdt>
      </w:sdtContent>
    </w:sdt>
    <w:p w14:paraId="6904B0E9">
      <w:pPr>
        <w:numPr>
          <w:ilvl w:val="0"/>
          <w:numId w:val="32"/>
        </w:numPr>
        <w:adjustRightInd/>
        <w:spacing w:before="240" w:beforeLines="100" w:after="240" w:afterLines="100" w:line="360" w:lineRule="auto"/>
        <w:ind w:left="363" w:hanging="363"/>
        <w:rPr>
          <w:rFonts w:hint="eastAsia" w:ascii="黑体" w:hAnsi="黑体" w:eastAsia="黑体"/>
          <w:bCs/>
        </w:rPr>
      </w:pPr>
      <w:r>
        <w:rPr>
          <w:rFonts w:hint="eastAsia" w:ascii="黑体" w:hAnsi="黑体" w:eastAsia="黑体"/>
          <w:bCs/>
        </w:rPr>
        <w:t>范围</w:t>
      </w:r>
    </w:p>
    <w:p w14:paraId="7403C650">
      <w:pPr>
        <w:spacing w:line="360" w:lineRule="auto"/>
        <w:ind w:firstLine="420"/>
      </w:pPr>
      <w:r>
        <w:t>本文件规定了经</w:t>
      </w:r>
      <w:r>
        <w:rPr>
          <w:rFonts w:hint="eastAsia"/>
        </w:rPr>
        <w:t>轻微</w:t>
      </w:r>
      <w:r>
        <w:t>镀银并以</w:t>
      </w:r>
      <w:r>
        <w:rPr>
          <w:rFonts w:hint="eastAsia"/>
        </w:rPr>
        <w:t>清漆</w:t>
      </w:r>
      <w:r>
        <w:t>保护的金属制餐桌</w:t>
      </w:r>
      <w:r>
        <w:rPr>
          <w:rFonts w:hint="eastAsia"/>
        </w:rPr>
        <w:t>用</w:t>
      </w:r>
      <w:r>
        <w:t>器皿及铸造附件的材料与性能要求。</w:t>
      </w:r>
    </w:p>
    <w:p w14:paraId="4FDBEBF0">
      <w:pPr>
        <w:spacing w:line="360" w:lineRule="auto"/>
        <w:ind w:firstLine="420"/>
      </w:pPr>
      <w:r>
        <w:t>本文件适用于水罐、餐盘、冰酒器、茶壶、咖啡壶、托盘及汤碗等制品。</w:t>
      </w:r>
    </w:p>
    <w:p w14:paraId="42F74036">
      <w:pPr>
        <w:spacing w:line="360" w:lineRule="auto"/>
        <w:ind w:firstLine="420"/>
      </w:pPr>
      <w:r>
        <w:t>本文件针对经轻镀银并涂有</w:t>
      </w:r>
      <w:r>
        <w:rPr>
          <w:rFonts w:hint="eastAsia"/>
        </w:rPr>
        <w:t>清漆</w:t>
      </w:r>
      <w:r>
        <w:t>的黄铜、紫铜、青铜、镍银、</w:t>
      </w:r>
      <w:r>
        <w:rPr>
          <w:rFonts w:hint="eastAsia"/>
        </w:rPr>
        <w:t>锡铅合金</w:t>
      </w:r>
      <w:r>
        <w:t>及不锈钢器皿规定了相关要求。</w:t>
      </w:r>
    </w:p>
    <w:p w14:paraId="22673248">
      <w:pPr>
        <w:spacing w:line="360" w:lineRule="auto"/>
        <w:ind w:firstLine="420"/>
      </w:pPr>
      <w:r>
        <w:t>本文件不适用于完全由贵金属、黄铜、镍银、不锈钢制成的器皿，亦不适用于陶瓷、玻璃、非不锈钢或锌基压铸件制成的器皿。</w:t>
      </w:r>
    </w:p>
    <w:p w14:paraId="6C00C5C0">
      <w:pPr>
        <w:spacing w:line="360" w:lineRule="auto"/>
        <w:ind w:firstLine="420"/>
      </w:pPr>
      <w:r>
        <w:t>本文件规定了器皿在镀银及漆封前，其制造用</w:t>
      </w:r>
      <w:r>
        <w:rPr>
          <w:rFonts w:hint="eastAsia"/>
        </w:rPr>
        <w:t>基体</w:t>
      </w:r>
      <w:r>
        <w:t>金属的成分限值。</w:t>
      </w:r>
    </w:p>
    <w:p w14:paraId="74AF4F88">
      <w:pPr>
        <w:spacing w:line="360" w:lineRule="auto"/>
        <w:ind w:firstLine="420"/>
      </w:pPr>
      <w:r>
        <w:t>本文件不包含关于设计、尺寸或其他属于个人选择范畴，或采购方可在销售环节直观评估的特性要求。</w:t>
      </w:r>
    </w:p>
    <w:p w14:paraId="048B0D1F">
      <w:pPr>
        <w:numPr>
          <w:ilvl w:val="0"/>
          <w:numId w:val="32"/>
        </w:numPr>
        <w:adjustRightInd/>
        <w:spacing w:before="240" w:beforeLines="100" w:after="240" w:afterLines="100" w:line="360" w:lineRule="auto"/>
        <w:ind w:left="363" w:hanging="363"/>
      </w:pPr>
      <w:r>
        <w:rPr>
          <w:rFonts w:hint="eastAsia" w:ascii="黑体" w:hAnsi="黑体" w:eastAsia="黑体"/>
          <w:bCs/>
        </w:rPr>
        <w:t>规范性引用文件</w:t>
      </w:r>
    </w:p>
    <w:p w14:paraId="65830359">
      <w:pPr>
        <w:pStyle w:val="14"/>
        <w:spacing w:line="360" w:lineRule="auto"/>
        <w:jc w:val="left"/>
      </w:pPr>
      <w:r>
        <w:rPr>
          <w:rFonts w:hint="eastAsia"/>
        </w:rPr>
        <w:t>下列文件中的内容通过文中的规范性引用而构成本文件必不可少的条款。其中,注日期的引用文件,</w:t>
      </w:r>
    </w:p>
    <w:p w14:paraId="6E246A29">
      <w:pPr>
        <w:pStyle w:val="14"/>
        <w:spacing w:line="360" w:lineRule="auto"/>
        <w:ind w:left="0" w:leftChars="0"/>
        <w:jc w:val="left"/>
      </w:pPr>
      <w:r>
        <w:rPr>
          <w:rFonts w:hint="eastAsia"/>
        </w:rPr>
        <w:t>仅该日期对应的版本适用于本文件;不注日期的引用文件,其最新版本(包括所有的修改单)适用于本文件。</w:t>
      </w:r>
    </w:p>
    <w:p w14:paraId="06099844">
      <w:pPr>
        <w:pStyle w:val="14"/>
        <w:spacing w:line="360" w:lineRule="auto"/>
        <w:jc w:val="left"/>
      </w:pPr>
      <w:r>
        <w:rPr>
          <w:rFonts w:hint="eastAsia"/>
        </w:rPr>
        <w:t>ISO 301 铸造用锌合金锭（Zinc alloy ingots intended for castings）</w:t>
      </w:r>
    </w:p>
    <w:p w14:paraId="39231570">
      <w:pPr>
        <w:pStyle w:val="14"/>
        <w:spacing w:line="360" w:lineRule="auto"/>
        <w:jc w:val="left"/>
      </w:pPr>
      <w:r>
        <w:rPr>
          <w:rFonts w:hint="eastAsia"/>
        </w:rPr>
        <w:t>GB/T 4955  金属覆盖层 覆盖层厚度测量 阳极溶解库仑法（GB/T 4955-2005，ISO 2177:2003，IDT）</w:t>
      </w:r>
    </w:p>
    <w:p w14:paraId="11FA2E06">
      <w:pPr>
        <w:pStyle w:val="14"/>
        <w:spacing w:line="360" w:lineRule="auto"/>
        <w:jc w:val="left"/>
      </w:pPr>
      <w:r>
        <w:rPr>
          <w:rFonts w:hint="eastAsia"/>
        </w:rPr>
        <w:t>GB/T 15067.1  不锈钢餐具 术语（GB/T 15067.1-1994，ISO 4481:1977，IDT）</w:t>
      </w:r>
    </w:p>
    <w:p w14:paraId="45C468D5">
      <w:pPr>
        <w:pStyle w:val="14"/>
        <w:spacing w:line="360" w:lineRule="auto"/>
        <w:jc w:val="left"/>
      </w:pPr>
      <w:r>
        <w:rPr>
          <w:rFonts w:hint="eastAsia"/>
        </w:rPr>
        <w:t xml:space="preserve">ISO 6508-1  金属材料-硬度试验-洛氏硬度试验（A-B-C-D-E-F-G-H-K级）（  Metallic  </w:t>
      </w:r>
    </w:p>
    <w:p w14:paraId="1AF68641">
      <w:pPr>
        <w:pStyle w:val="14"/>
        <w:spacing w:line="360" w:lineRule="auto"/>
        <w:jc w:val="left"/>
      </w:pPr>
      <w:r>
        <w:rPr>
          <w:rFonts w:hint="eastAsia"/>
        </w:rPr>
        <w:t>materials  -Hardness  test-Rockwell  test  (scales  A-B-C-D-E-F-G-H-K) ）</w:t>
      </w:r>
    </w:p>
    <w:p w14:paraId="7E891B0A">
      <w:pPr>
        <w:pStyle w:val="14"/>
        <w:spacing w:line="360" w:lineRule="auto"/>
        <w:jc w:val="left"/>
      </w:pPr>
      <w:r>
        <w:rPr>
          <w:rFonts w:hint="eastAsia"/>
        </w:rPr>
        <w:t>ISO 8442-2：1997  接触食物的制品及材料—餐具和餐桌用凹形器皿  第2部分：不锈钢和镀银</w:t>
      </w:r>
    </w:p>
    <w:p w14:paraId="6CDF4E02">
      <w:pPr>
        <w:pStyle w:val="14"/>
        <w:spacing w:line="360" w:lineRule="auto"/>
        <w:ind w:left="0" w:leftChars="0"/>
        <w:jc w:val="left"/>
      </w:pPr>
      <w:r>
        <w:rPr>
          <w:rFonts w:hint="eastAsia"/>
        </w:rPr>
        <w:t>餐具技术要求（Materials and articles in contact with foodstuffs - Cutlery and table hollowarePart 2:Requirements for stainless steel and silver plated cutlery）</w:t>
      </w:r>
    </w:p>
    <w:p w14:paraId="4DC09AD6">
      <w:pPr>
        <w:pStyle w:val="14"/>
        <w:spacing w:line="360" w:lineRule="auto"/>
        <w:jc w:val="left"/>
      </w:pPr>
      <w:r>
        <w:rPr>
          <w:rFonts w:hint="eastAsia"/>
        </w:rPr>
        <w:t xml:space="preserve">EN 10088-1 不锈钢.第1部分 不锈钢的清单（Stainless steels - Part 1: List of stainless </w:t>
      </w:r>
    </w:p>
    <w:p w14:paraId="7100E42C">
      <w:pPr>
        <w:pStyle w:val="14"/>
        <w:spacing w:line="360" w:lineRule="auto"/>
        <w:jc w:val="left"/>
      </w:pPr>
      <w:r>
        <w:rPr>
          <w:rFonts w:hint="eastAsia"/>
        </w:rPr>
        <w:t>steels）</w:t>
      </w:r>
    </w:p>
    <w:p w14:paraId="4A3E636B">
      <w:pPr>
        <w:pStyle w:val="14"/>
        <w:spacing w:line="360" w:lineRule="auto"/>
        <w:jc w:val="left"/>
      </w:pPr>
      <w:r>
        <w:rPr>
          <w:rFonts w:hint="eastAsia"/>
        </w:rPr>
        <w:t xml:space="preserve">EN 12875-1：1998 器皿的耐机洗性.第1部分:家用物品的参考试验方法（Mechanical dishwashing </w:t>
      </w:r>
    </w:p>
    <w:p w14:paraId="5678EE64">
      <w:pPr>
        <w:pStyle w:val="14"/>
        <w:spacing w:after="0" w:line="360" w:lineRule="auto"/>
        <w:ind w:left="0" w:leftChars="0"/>
        <w:jc w:val="left"/>
      </w:pPr>
      <w:r>
        <w:rPr>
          <w:rFonts w:hint="eastAsia"/>
        </w:rPr>
        <w:t>resistance of utensils - Part 1: Reference test method for domestic articles; ）</w:t>
      </w:r>
    </w:p>
    <w:p w14:paraId="785E4918">
      <w:pPr>
        <w:numPr>
          <w:ilvl w:val="0"/>
          <w:numId w:val="32"/>
        </w:numPr>
        <w:adjustRightInd/>
        <w:spacing w:before="240" w:beforeLines="100" w:after="240" w:afterLines="100" w:line="360" w:lineRule="auto"/>
        <w:ind w:left="363" w:hanging="363"/>
        <w:rPr>
          <w:rFonts w:hint="eastAsia" w:ascii="黑体" w:hAnsi="黑体" w:eastAsia="黑体"/>
          <w:bCs/>
        </w:rPr>
      </w:pPr>
      <w:r>
        <w:rPr>
          <w:rFonts w:hint="eastAsia" w:ascii="黑体" w:hAnsi="黑体" w:eastAsia="黑体"/>
          <w:bCs/>
        </w:rPr>
        <w:t>术语和定义</w:t>
      </w:r>
    </w:p>
    <w:p w14:paraId="54270498">
      <w:pPr>
        <w:spacing w:line="360" w:lineRule="auto"/>
        <w:ind w:left="360"/>
        <w:rPr>
          <w:b/>
        </w:rPr>
      </w:pPr>
      <w:r>
        <w:rPr>
          <w:rFonts w:hint="eastAsia"/>
        </w:rPr>
        <w:t>下列术语和定义适用于本文件。</w:t>
      </w:r>
    </w:p>
    <w:p w14:paraId="77E82431">
      <w:pPr>
        <w:pStyle w:val="232"/>
        <w:numPr>
          <w:ilvl w:val="1"/>
          <w:numId w:val="32"/>
        </w:numPr>
        <w:adjustRightInd/>
        <w:spacing w:line="360" w:lineRule="auto"/>
        <w:ind w:firstLineChars="0"/>
        <w:rPr>
          <w:rFonts w:hint="eastAsia" w:ascii="黑体" w:hAnsi="黑体" w:eastAsia="黑体"/>
          <w:bCs/>
        </w:rPr>
      </w:pPr>
      <w:r>
        <w:rPr>
          <w:rFonts w:hint="eastAsia" w:ascii="黑体" w:hAnsi="黑体" w:eastAsia="黑体"/>
          <w:bCs/>
        </w:rPr>
        <w:t xml:space="preserve">  </w:t>
      </w:r>
    </w:p>
    <w:p w14:paraId="1FC15800">
      <w:pPr>
        <w:pStyle w:val="232"/>
        <w:adjustRightInd/>
        <w:spacing w:line="360" w:lineRule="auto"/>
        <w:rPr>
          <w:rFonts w:hint="eastAsia" w:ascii="黑体" w:hAnsi="黑体" w:eastAsia="黑体"/>
          <w:bCs/>
        </w:rPr>
      </w:pPr>
      <w:r>
        <w:rPr>
          <w:rFonts w:hint="eastAsia" w:ascii="黑体" w:hAnsi="黑体" w:eastAsia="黑体"/>
          <w:bCs/>
        </w:rPr>
        <w:t>餐桌用器皿  table holloware</w:t>
      </w:r>
    </w:p>
    <w:p w14:paraId="5759B690">
      <w:pPr>
        <w:ind w:firstLine="420" w:firstLineChars="200"/>
      </w:pPr>
      <w:r>
        <w:rPr>
          <w:rFonts w:hint="eastAsia"/>
        </w:rPr>
        <w:t>该类产品一般为凹形，主要用于盛放提供食品或饮料。</w:t>
      </w:r>
    </w:p>
    <w:p w14:paraId="27BDA5DB">
      <w:pPr>
        <w:pStyle w:val="232"/>
        <w:numPr>
          <w:ilvl w:val="1"/>
          <w:numId w:val="32"/>
        </w:numPr>
        <w:adjustRightInd/>
        <w:spacing w:line="360" w:lineRule="auto"/>
        <w:ind w:firstLineChars="0"/>
        <w:rPr>
          <w:rFonts w:hint="eastAsia" w:ascii="黑体" w:hAnsi="黑体" w:eastAsia="黑体"/>
          <w:bCs/>
        </w:rPr>
      </w:pPr>
    </w:p>
    <w:p w14:paraId="3190797B">
      <w:pPr>
        <w:pStyle w:val="232"/>
        <w:adjustRightInd/>
        <w:spacing w:line="360" w:lineRule="auto"/>
        <w:rPr>
          <w:rFonts w:hint="eastAsia" w:ascii="黑体" w:hAnsi="黑体" w:eastAsia="黑体"/>
          <w:bCs/>
        </w:rPr>
      </w:pPr>
      <w:r>
        <w:rPr>
          <w:rFonts w:hint="eastAsia" w:ascii="黑体" w:hAnsi="黑体" w:eastAsia="黑体"/>
          <w:bCs/>
        </w:rPr>
        <w:t>功能表面  functional surface</w:t>
      </w:r>
    </w:p>
    <w:p w14:paraId="0E9142FF">
      <w:pPr>
        <w:adjustRightInd/>
        <w:spacing w:line="360" w:lineRule="auto"/>
        <w:ind w:firstLine="420" w:firstLineChars="200"/>
        <w:jc w:val="left"/>
      </w:pPr>
      <w:r>
        <w:rPr>
          <w:rFonts w:hint="eastAsia"/>
        </w:rPr>
        <w:t>餐桌上用或装饰用凹形器皿或银杯的外部表面，或浅型凹形器皿产品的内部或外部表面。此外，还包括能够产生等效作用的表面。</w:t>
      </w:r>
    </w:p>
    <w:p w14:paraId="75C3E5E8">
      <w:pPr>
        <w:pStyle w:val="232"/>
        <w:numPr>
          <w:ilvl w:val="1"/>
          <w:numId w:val="32"/>
        </w:numPr>
        <w:adjustRightInd/>
        <w:spacing w:line="360" w:lineRule="auto"/>
        <w:ind w:firstLineChars="0"/>
        <w:rPr>
          <w:rFonts w:hint="eastAsia" w:ascii="黑体" w:hAnsi="黑体" w:eastAsia="黑体"/>
          <w:bCs/>
        </w:rPr>
      </w:pPr>
    </w:p>
    <w:p w14:paraId="7757FB1A">
      <w:pPr>
        <w:pStyle w:val="232"/>
        <w:adjustRightInd/>
        <w:spacing w:line="360" w:lineRule="auto"/>
        <w:rPr>
          <w:rFonts w:hint="eastAsia" w:ascii="黑体" w:hAnsi="黑体" w:eastAsia="黑体"/>
          <w:bCs/>
        </w:rPr>
      </w:pPr>
      <w:r>
        <w:rPr>
          <w:rFonts w:hint="eastAsia" w:ascii="黑体" w:hAnsi="黑体" w:eastAsia="黑体"/>
          <w:bCs/>
        </w:rPr>
        <w:t>其它表面  other surface</w:t>
      </w:r>
    </w:p>
    <w:p w14:paraId="0548FE2C">
      <w:pPr>
        <w:pStyle w:val="17"/>
        <w:spacing w:line="360" w:lineRule="auto"/>
        <w:ind w:firstLine="420" w:firstLineChars="200"/>
      </w:pPr>
      <w:r>
        <w:rPr>
          <w:rFonts w:hint="eastAsia"/>
        </w:rPr>
        <w:t>主要出于美观目的而轻微镀银和上漆的餐具表面，例如罐子的内壁，或用于食品或饮料但将接受最少磨损的轻微镀银和上漆表面。</w:t>
      </w:r>
    </w:p>
    <w:p w14:paraId="5C4B9CD9">
      <w:pPr>
        <w:pStyle w:val="232"/>
        <w:numPr>
          <w:ilvl w:val="1"/>
          <w:numId w:val="32"/>
        </w:numPr>
        <w:spacing w:line="360" w:lineRule="auto"/>
        <w:ind w:firstLineChars="0"/>
        <w:rPr>
          <w:rFonts w:hint="eastAsia" w:ascii="黑体" w:hAnsi="黑体" w:eastAsia="黑体"/>
          <w:bCs/>
        </w:rPr>
      </w:pPr>
    </w:p>
    <w:p w14:paraId="5BCD19E1">
      <w:pPr>
        <w:pStyle w:val="232"/>
        <w:spacing w:line="360" w:lineRule="auto"/>
        <w:rPr>
          <w:rFonts w:hint="eastAsia" w:ascii="黑体" w:hAnsi="黑体" w:eastAsia="黑体"/>
          <w:bCs/>
        </w:rPr>
      </w:pPr>
      <w:r>
        <w:rPr>
          <w:rFonts w:hint="eastAsia" w:ascii="黑体" w:hAnsi="黑体" w:eastAsia="黑体"/>
          <w:bCs/>
        </w:rPr>
        <w:t>附件 attachments</w:t>
      </w:r>
    </w:p>
    <w:p w14:paraId="6666BFE7">
      <w:pPr>
        <w:spacing w:line="360" w:lineRule="auto"/>
        <w:ind w:firstLine="420" w:firstLineChars="200"/>
      </w:pPr>
      <w:r>
        <w:rPr>
          <w:rFonts w:hint="eastAsia"/>
        </w:rPr>
        <w:t>连接到器皿主体上的部件。</w:t>
      </w:r>
    </w:p>
    <w:p w14:paraId="0EDCE1BB">
      <w:pPr>
        <w:spacing w:line="360" w:lineRule="auto"/>
        <w:rPr>
          <w:rFonts w:hint="eastAsia" w:ascii="黑体" w:hAnsi="黑体" w:eastAsia="黑体"/>
          <w:bCs/>
        </w:rPr>
      </w:pPr>
      <w:r>
        <w:rPr>
          <w:rFonts w:hint="eastAsia"/>
        </w:rPr>
        <w:t>3.5</w:t>
      </w:r>
    </w:p>
    <w:p w14:paraId="4ACC6A1F">
      <w:pPr>
        <w:pStyle w:val="232"/>
        <w:adjustRightInd/>
        <w:spacing w:line="360" w:lineRule="auto"/>
        <w:rPr>
          <w:rFonts w:hint="eastAsia" w:ascii="黑体" w:hAnsi="黑体" w:eastAsia="黑体"/>
          <w:bCs/>
        </w:rPr>
      </w:pPr>
      <w:r>
        <w:rPr>
          <w:rFonts w:hint="eastAsia" w:ascii="黑体" w:hAnsi="黑体" w:eastAsia="黑体"/>
          <w:bCs/>
        </w:rPr>
        <w:t>承重附件  load-bearing attachments</w:t>
      </w:r>
    </w:p>
    <w:p w14:paraId="1F100107">
      <w:pPr>
        <w:adjustRightInd/>
        <w:spacing w:line="360" w:lineRule="auto"/>
        <w:ind w:firstLine="420" w:firstLineChars="200"/>
      </w:pPr>
      <w:r>
        <w:rPr>
          <w:rFonts w:hint="eastAsia"/>
        </w:rPr>
        <w:t>在正常使用条件下，用于承受器皿和或其内容物重量的附件。这些附件包括把手、喷嘴、支脚、底座和高脚杯柄。</w:t>
      </w:r>
    </w:p>
    <w:p w14:paraId="4404343F">
      <w:pPr>
        <w:tabs>
          <w:tab w:val="left" w:pos="360"/>
          <w:tab w:val="left" w:pos="495"/>
        </w:tabs>
        <w:adjustRightInd/>
        <w:spacing w:line="360" w:lineRule="auto"/>
        <w:rPr>
          <w:rFonts w:hint="eastAsia" w:ascii="黑体" w:hAnsi="黑体" w:eastAsia="黑体"/>
          <w:bCs/>
        </w:rPr>
      </w:pPr>
      <w:r>
        <w:rPr>
          <w:rFonts w:hint="eastAsia" w:ascii="黑体" w:hAnsi="黑体" w:eastAsia="黑体"/>
          <w:bCs/>
        </w:rPr>
        <w:t>3.6</w:t>
      </w:r>
    </w:p>
    <w:p w14:paraId="70553265">
      <w:pPr>
        <w:pStyle w:val="232"/>
        <w:adjustRightInd/>
        <w:spacing w:line="360" w:lineRule="auto"/>
        <w:rPr>
          <w:rFonts w:hint="eastAsia" w:ascii="黑体" w:hAnsi="黑体" w:eastAsia="黑体"/>
          <w:bCs/>
        </w:rPr>
      </w:pPr>
      <w:r>
        <w:rPr>
          <w:rFonts w:hint="eastAsia" w:ascii="黑体" w:hAnsi="黑体" w:eastAsia="黑体"/>
          <w:bCs/>
        </w:rPr>
        <w:t xml:space="preserve">毛刺  burr </w:t>
      </w:r>
    </w:p>
    <w:p w14:paraId="0F7B40E9">
      <w:pPr>
        <w:adjustRightInd/>
        <w:spacing w:line="360" w:lineRule="auto"/>
        <w:ind w:firstLine="420" w:firstLineChars="200"/>
      </w:pPr>
      <w:r>
        <w:rPr>
          <w:rFonts w:hint="eastAsia"/>
        </w:rPr>
        <w:t>产品上超出形状要求的金属部分，一般是以薄片状出现。</w:t>
      </w:r>
    </w:p>
    <w:p w14:paraId="0675D3A2">
      <w:pPr>
        <w:tabs>
          <w:tab w:val="left" w:pos="360"/>
          <w:tab w:val="left" w:pos="495"/>
        </w:tabs>
        <w:adjustRightInd/>
        <w:spacing w:line="360" w:lineRule="auto"/>
        <w:rPr>
          <w:rFonts w:hint="eastAsia" w:ascii="黑体" w:hAnsi="黑体" w:eastAsia="黑体"/>
          <w:bCs/>
        </w:rPr>
      </w:pPr>
      <w:r>
        <w:rPr>
          <w:rFonts w:hint="eastAsia" w:ascii="黑体" w:hAnsi="黑体" w:eastAsia="黑体"/>
          <w:bCs/>
        </w:rPr>
        <w:t>3.7</w:t>
      </w:r>
    </w:p>
    <w:p w14:paraId="7144AF09">
      <w:pPr>
        <w:pStyle w:val="232"/>
        <w:adjustRightInd/>
        <w:spacing w:line="360" w:lineRule="auto"/>
        <w:rPr>
          <w:rFonts w:hint="eastAsia" w:ascii="黑体" w:hAnsi="黑体" w:eastAsia="黑体"/>
          <w:bCs/>
        </w:rPr>
      </w:pPr>
      <w:r>
        <w:rPr>
          <w:rFonts w:hint="eastAsia" w:ascii="黑体" w:hAnsi="黑体" w:eastAsia="黑体"/>
          <w:bCs/>
        </w:rPr>
        <w:t>器皿  vessel</w:t>
      </w:r>
    </w:p>
    <w:p w14:paraId="72FBED85">
      <w:pPr>
        <w:adjustRightInd/>
        <w:spacing w:line="360" w:lineRule="auto"/>
        <w:ind w:left="360"/>
      </w:pPr>
      <w:r>
        <w:rPr>
          <w:rFonts w:hint="eastAsia"/>
        </w:rPr>
        <w:t>用于盛装食品和/或饮料的凹形器皿的统称。</w:t>
      </w:r>
    </w:p>
    <w:p w14:paraId="45D3EDE5">
      <w:pPr>
        <w:tabs>
          <w:tab w:val="left" w:pos="360"/>
          <w:tab w:val="left" w:pos="495"/>
        </w:tabs>
        <w:adjustRightInd/>
        <w:spacing w:line="360" w:lineRule="auto"/>
        <w:rPr>
          <w:rFonts w:hint="eastAsia" w:ascii="黑体" w:hAnsi="黑体" w:eastAsia="黑体"/>
          <w:bCs/>
        </w:rPr>
      </w:pPr>
      <w:r>
        <w:rPr>
          <w:rFonts w:hint="eastAsia" w:ascii="黑体" w:hAnsi="黑体" w:eastAsia="黑体"/>
          <w:bCs/>
        </w:rPr>
        <w:t>3.8</w:t>
      </w:r>
    </w:p>
    <w:p w14:paraId="6E5A374A">
      <w:pPr>
        <w:pStyle w:val="232"/>
        <w:adjustRightInd/>
        <w:spacing w:line="360" w:lineRule="auto"/>
        <w:rPr>
          <w:rFonts w:hint="eastAsia" w:ascii="黑体" w:hAnsi="黑体" w:eastAsia="黑体"/>
          <w:bCs/>
        </w:rPr>
      </w:pPr>
      <w:r>
        <w:rPr>
          <w:rFonts w:hint="eastAsia" w:ascii="黑体" w:hAnsi="黑体" w:eastAsia="黑体"/>
          <w:bCs/>
        </w:rPr>
        <w:t>有效容量  usable capacity</w:t>
      </w:r>
    </w:p>
    <w:p w14:paraId="16080E91">
      <w:pPr>
        <w:ind w:firstLine="420" w:firstLineChars="200"/>
      </w:pPr>
      <w:bookmarkStart w:id="24" w:name="_Hlk224225838"/>
      <w:r>
        <w:rPr>
          <w:rFonts w:hint="eastAsia"/>
        </w:rPr>
        <w:t>按要求注入容器至其上口边缘下方15</w:t>
      </w:r>
      <w:r>
        <w:t>mm</w:t>
      </w:r>
      <w:r>
        <w:rPr>
          <w:rFonts w:hint="eastAsia" w:ascii="宋体"/>
        </w:rPr>
        <w:t>±</w:t>
      </w:r>
      <w:r>
        <w:t>1mm</w:t>
      </w:r>
      <w:r>
        <w:rPr>
          <w:rFonts w:hint="eastAsia"/>
        </w:rPr>
        <w:t>的位置时的液体体积。</w:t>
      </w:r>
    </w:p>
    <w:bookmarkEnd w:id="24"/>
    <w:p w14:paraId="4E238DBE">
      <w:pPr>
        <w:adjustRightInd/>
        <w:spacing w:line="360" w:lineRule="auto"/>
        <w:rPr>
          <w:rFonts w:hint="eastAsia" w:ascii="黑体" w:hAnsi="黑体" w:eastAsia="黑体"/>
          <w:bCs/>
        </w:rPr>
      </w:pPr>
      <w:r>
        <w:rPr>
          <w:rFonts w:hint="eastAsia" w:ascii="黑体" w:hAnsi="黑体" w:eastAsia="黑体"/>
          <w:bCs/>
        </w:rPr>
        <w:t>3.9</w:t>
      </w:r>
    </w:p>
    <w:p w14:paraId="45018D49">
      <w:pPr>
        <w:adjustRightInd/>
        <w:spacing w:line="360" w:lineRule="auto"/>
        <w:ind w:firstLine="420" w:firstLineChars="200"/>
        <w:rPr>
          <w:rFonts w:hint="eastAsia" w:ascii="黑体" w:hAnsi="黑体" w:eastAsia="黑体"/>
          <w:bCs/>
        </w:rPr>
      </w:pPr>
      <w:r>
        <w:rPr>
          <w:rFonts w:hint="eastAsia" w:ascii="黑体" w:hAnsi="黑体" w:eastAsia="黑体"/>
          <w:bCs/>
        </w:rPr>
        <w:t>凹变  popping</w:t>
      </w:r>
    </w:p>
    <w:p w14:paraId="67960C7F">
      <w:pPr>
        <w:adjustRightInd/>
        <w:spacing w:line="360" w:lineRule="auto"/>
        <w:ind w:left="360"/>
      </w:pPr>
      <w:r>
        <w:rPr>
          <w:rFonts w:hint="eastAsia"/>
        </w:rPr>
        <w:t>当用一负载施加到器皿凸边时，器皿的外表面从凸面转变为凹面，通常都伴有明显的的响声。</w:t>
      </w:r>
    </w:p>
    <w:p w14:paraId="026A6252">
      <w:pPr>
        <w:adjustRightInd/>
        <w:spacing w:line="360" w:lineRule="auto"/>
        <w:rPr>
          <w:rFonts w:hint="eastAsia" w:ascii="黑体" w:hAnsi="黑体" w:eastAsia="黑体"/>
          <w:bCs/>
        </w:rPr>
      </w:pPr>
      <w:r>
        <w:rPr>
          <w:rFonts w:hint="eastAsia" w:ascii="黑体" w:hAnsi="黑体" w:eastAsia="黑体"/>
          <w:bCs/>
        </w:rPr>
        <w:t xml:space="preserve">3.10 </w:t>
      </w:r>
    </w:p>
    <w:p w14:paraId="464A92C5">
      <w:pPr>
        <w:adjustRightInd/>
        <w:spacing w:line="360" w:lineRule="auto"/>
        <w:ind w:firstLine="420" w:firstLineChars="200"/>
        <w:rPr>
          <w:rFonts w:hint="eastAsia" w:ascii="黑体" w:hAnsi="黑体" w:eastAsia="黑体"/>
          <w:bCs/>
        </w:rPr>
      </w:pPr>
      <w:r>
        <w:rPr>
          <w:rFonts w:hint="eastAsia" w:ascii="黑体" w:hAnsi="黑体" w:eastAsia="黑体"/>
          <w:bCs/>
        </w:rPr>
        <w:t>目视检验  visual inspection</w:t>
      </w:r>
    </w:p>
    <w:p w14:paraId="35ED6523">
      <w:pPr>
        <w:spacing w:line="360" w:lineRule="auto"/>
        <w:ind w:firstLine="420" w:firstLineChars="200"/>
      </w:pPr>
      <w:r>
        <w:t xml:space="preserve">在被检表面照度不低于 250 勒克斯的环境光条件下，以 (250±50) </w:t>
      </w:r>
      <w:r>
        <w:rPr>
          <w:rFonts w:hint="eastAsia"/>
        </w:rPr>
        <w:t>mm</w:t>
      </w:r>
      <w:r>
        <w:t>的距离，仅使用裸眼或常规矫正视力进行检查。</w:t>
      </w:r>
    </w:p>
    <w:p w14:paraId="6F4DCAD3">
      <w:pPr>
        <w:adjustRightInd/>
        <w:spacing w:line="360" w:lineRule="auto"/>
        <w:rPr>
          <w:rFonts w:hint="eastAsia" w:ascii="黑体" w:hAnsi="黑体" w:eastAsia="黑体"/>
          <w:bCs/>
        </w:rPr>
      </w:pPr>
      <w:r>
        <w:rPr>
          <w:rFonts w:hint="eastAsia" w:ascii="黑体" w:hAnsi="黑体" w:eastAsia="黑体"/>
          <w:bCs/>
        </w:rPr>
        <w:t xml:space="preserve">3.11  </w:t>
      </w:r>
    </w:p>
    <w:p w14:paraId="166AFC10">
      <w:pPr>
        <w:adjustRightInd/>
        <w:spacing w:line="360" w:lineRule="auto"/>
        <w:ind w:firstLine="420" w:firstLineChars="200"/>
        <w:rPr>
          <w:rFonts w:hint="eastAsia" w:ascii="黑体" w:hAnsi="黑体" w:eastAsia="黑体"/>
          <w:bCs/>
        </w:rPr>
      </w:pPr>
      <w:r>
        <w:rPr>
          <w:rFonts w:hint="eastAsia" w:ascii="黑体" w:hAnsi="黑体" w:eastAsia="黑体"/>
          <w:bCs/>
        </w:rPr>
        <w:t>轻微镀银层  light silver plating</w:t>
      </w:r>
    </w:p>
    <w:p w14:paraId="2154AB96">
      <w:pPr>
        <w:spacing w:line="360" w:lineRule="auto"/>
        <w:ind w:firstLine="420" w:firstLineChars="200"/>
      </w:pPr>
      <w:r>
        <w:rPr>
          <w:rFonts w:hint="eastAsia"/>
        </w:rPr>
        <w:t>厚度大于0.3um但小于5um的镀银层。</w:t>
      </w:r>
    </w:p>
    <w:p w14:paraId="48474EB1">
      <w:pPr>
        <w:pStyle w:val="232"/>
        <w:numPr>
          <w:ilvl w:val="1"/>
          <w:numId w:val="33"/>
        </w:numPr>
        <w:adjustRightInd/>
        <w:spacing w:line="360" w:lineRule="auto"/>
        <w:ind w:firstLineChars="0"/>
        <w:rPr>
          <w:rFonts w:hint="eastAsia" w:ascii="黑体" w:hAnsi="黑体" w:eastAsia="黑体"/>
          <w:bCs/>
        </w:rPr>
      </w:pPr>
      <w:r>
        <w:rPr>
          <w:rFonts w:hint="eastAsia" w:ascii="黑体" w:hAnsi="黑体" w:eastAsia="黑体"/>
          <w:bCs/>
        </w:rPr>
        <w:t xml:space="preserve"> </w:t>
      </w:r>
    </w:p>
    <w:p w14:paraId="72A2B4CA">
      <w:pPr>
        <w:pStyle w:val="232"/>
        <w:adjustRightInd/>
        <w:spacing w:line="360" w:lineRule="auto"/>
        <w:rPr>
          <w:rFonts w:hint="eastAsia" w:ascii="黑体" w:hAnsi="黑体" w:eastAsia="黑体"/>
          <w:bCs/>
        </w:rPr>
      </w:pPr>
      <w:r>
        <w:rPr>
          <w:rFonts w:hint="eastAsia" w:ascii="黑体" w:hAnsi="黑体" w:eastAsia="黑体"/>
          <w:bCs/>
        </w:rPr>
        <w:t>漆层 lacquer</w:t>
      </w:r>
    </w:p>
    <w:p w14:paraId="66FE9713">
      <w:pPr>
        <w:pStyle w:val="232"/>
        <w:adjustRightInd/>
        <w:spacing w:line="360" w:lineRule="auto"/>
        <w:ind w:left="440" w:firstLine="0" w:firstLineChars="0"/>
        <w:rPr>
          <w:rFonts w:hint="eastAsia" w:ascii="宋体" w:hAnsi="宋体"/>
          <w:bCs/>
        </w:rPr>
      </w:pPr>
      <w:r>
        <w:rPr>
          <w:rFonts w:hint="eastAsia" w:ascii="宋体" w:hAnsi="宋体"/>
          <w:bCs/>
        </w:rPr>
        <w:t>聚合物涂层。</w:t>
      </w:r>
    </w:p>
    <w:p w14:paraId="4FF6B11B">
      <w:pPr>
        <w:pStyle w:val="232"/>
        <w:numPr>
          <w:ilvl w:val="0"/>
          <w:numId w:val="33"/>
        </w:numPr>
        <w:adjustRightInd/>
        <w:spacing w:before="240" w:beforeLines="100" w:after="240" w:afterLines="100" w:line="360" w:lineRule="auto"/>
        <w:ind w:left="442" w:hanging="442" w:firstLineChars="0"/>
        <w:rPr>
          <w:rFonts w:hint="eastAsia" w:ascii="黑体" w:hAnsi="黑体" w:eastAsia="黑体"/>
          <w:bCs/>
        </w:rPr>
      </w:pPr>
      <w:r>
        <w:rPr>
          <w:rFonts w:hint="eastAsia" w:ascii="黑体" w:hAnsi="黑体" w:eastAsia="黑体"/>
          <w:bCs/>
        </w:rPr>
        <w:t>材料</w:t>
      </w:r>
    </w:p>
    <w:p w14:paraId="45F546A7">
      <w:pPr>
        <w:spacing w:line="360" w:lineRule="auto"/>
        <w:rPr>
          <w:rFonts w:hint="eastAsia" w:ascii="黑体" w:hAnsi="黑体" w:eastAsia="黑体"/>
          <w:bCs/>
        </w:rPr>
      </w:pPr>
      <w:r>
        <w:rPr>
          <w:rFonts w:hint="eastAsia" w:ascii="黑体" w:hAnsi="黑体" w:eastAsia="黑体"/>
          <w:bCs/>
        </w:rPr>
        <w:t>4.1  金属</w:t>
      </w:r>
    </w:p>
    <w:p w14:paraId="6DA45972">
      <w:pPr>
        <w:spacing w:line="360" w:lineRule="auto"/>
      </w:pPr>
      <w:r>
        <w:rPr>
          <w:rFonts w:hint="eastAsia" w:ascii="黑体" w:hAnsi="黑体" w:eastAsia="黑体"/>
          <w:bCs/>
        </w:rPr>
        <w:t>4.1.1</w:t>
      </w:r>
      <w:r>
        <w:rPr>
          <w:rFonts w:hint="eastAsia"/>
          <w:b/>
        </w:rPr>
        <w:t xml:space="preserve">  </w:t>
      </w:r>
      <w:r>
        <w:rPr>
          <w:rFonts w:hint="eastAsia"/>
        </w:rPr>
        <w:t>制造器皿的基体金属成分应符合表1的规定。</w:t>
      </w:r>
    </w:p>
    <w:p w14:paraId="55085004">
      <w:pPr>
        <w:spacing w:line="360" w:lineRule="auto"/>
      </w:pPr>
      <w:r>
        <w:rPr>
          <w:rFonts w:hint="eastAsia" w:ascii="黑体" w:hAnsi="黑体" w:eastAsia="黑体"/>
          <w:bCs/>
        </w:rPr>
        <w:t>4.1.2</w:t>
      </w:r>
      <w:r>
        <w:rPr>
          <w:rFonts w:hint="eastAsia"/>
        </w:rPr>
        <w:t xml:space="preserve">  </w:t>
      </w:r>
      <w:r>
        <w:t>按附录 B.3 规定的方法检测时，镀银层的银含量应不低于 98.5%。</w:t>
      </w:r>
    </w:p>
    <w:p w14:paraId="3AF28EFB">
      <w:pPr>
        <w:spacing w:line="360" w:lineRule="auto"/>
      </w:pPr>
    </w:p>
    <w:p w14:paraId="066411BF">
      <w:pPr>
        <w:spacing w:line="360" w:lineRule="auto"/>
        <w:jc w:val="center"/>
        <w:rPr>
          <w:rFonts w:hint="eastAsia" w:ascii="黑体" w:hAnsi="黑体" w:eastAsia="黑体"/>
          <w:bCs/>
        </w:rPr>
      </w:pPr>
      <w:r>
        <w:rPr>
          <w:rFonts w:hint="eastAsia" w:ascii="黑体" w:hAnsi="黑体" w:eastAsia="黑体"/>
          <w:bCs/>
        </w:rPr>
        <w:t>表1  带有漆层的轻微镀银的器皿基体金属成分</w:t>
      </w:r>
    </w:p>
    <w:tbl>
      <w:tblPr>
        <w:tblStyle w:val="28"/>
        <w:tblpPr w:leftFromText="180" w:rightFromText="180" w:vertAnchor="text" w:horzAnchor="page" w:tblpX="1295" w:tblpY="8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35"/>
        <w:gridCol w:w="735"/>
        <w:gridCol w:w="735"/>
        <w:gridCol w:w="735"/>
        <w:gridCol w:w="735"/>
        <w:gridCol w:w="735"/>
        <w:gridCol w:w="735"/>
        <w:gridCol w:w="735"/>
        <w:gridCol w:w="735"/>
        <w:gridCol w:w="735"/>
      </w:tblGrid>
      <w:tr w14:paraId="7407E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1" w:type="dxa"/>
            <w:vMerge w:val="restart"/>
            <w:vAlign w:val="center"/>
          </w:tcPr>
          <w:p w14:paraId="480988B4">
            <w:pPr>
              <w:spacing w:line="360" w:lineRule="auto"/>
              <w:jc w:val="center"/>
            </w:pPr>
            <w:r>
              <w:rPr>
                <w:rFonts w:hint="eastAsia"/>
              </w:rPr>
              <w:t>材料</w:t>
            </w:r>
          </w:p>
        </w:tc>
        <w:tc>
          <w:tcPr>
            <w:tcW w:w="7350" w:type="dxa"/>
            <w:gridSpan w:val="10"/>
          </w:tcPr>
          <w:p w14:paraId="30CE43B3">
            <w:pPr>
              <w:spacing w:line="360" w:lineRule="auto"/>
            </w:pPr>
            <w:r>
              <w:t xml:space="preserve">                    </w:t>
            </w:r>
            <w:r>
              <w:rPr>
                <w:rFonts w:hint="eastAsia"/>
              </w:rPr>
              <w:t>化 学 成 分 %</w:t>
            </w:r>
          </w:p>
        </w:tc>
      </w:tr>
      <w:tr w14:paraId="682A5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1" w:type="dxa"/>
            <w:vMerge w:val="continue"/>
          </w:tcPr>
          <w:p w14:paraId="6E955AD7">
            <w:pPr>
              <w:spacing w:line="360" w:lineRule="auto"/>
            </w:pPr>
          </w:p>
        </w:tc>
        <w:tc>
          <w:tcPr>
            <w:tcW w:w="735" w:type="dxa"/>
          </w:tcPr>
          <w:p w14:paraId="72CAE2D0">
            <w:pPr>
              <w:spacing w:line="360" w:lineRule="auto"/>
            </w:pPr>
            <w:r>
              <w:t xml:space="preserve">  C</w:t>
            </w:r>
          </w:p>
          <w:p w14:paraId="6C6C3760">
            <w:pPr>
              <w:spacing w:line="360" w:lineRule="auto"/>
            </w:pPr>
            <w:r>
              <w:t xml:space="preserve"> max</w:t>
            </w:r>
          </w:p>
        </w:tc>
        <w:tc>
          <w:tcPr>
            <w:tcW w:w="735" w:type="dxa"/>
          </w:tcPr>
          <w:p w14:paraId="0E955AC9">
            <w:pPr>
              <w:spacing w:line="360" w:lineRule="auto"/>
            </w:pPr>
            <w:r>
              <w:t xml:space="preserve"> Cr</w:t>
            </w:r>
          </w:p>
          <w:p w14:paraId="12C87CB5">
            <w:pPr>
              <w:spacing w:line="360" w:lineRule="auto"/>
            </w:pPr>
            <w:r>
              <w:t xml:space="preserve"> min</w:t>
            </w:r>
          </w:p>
        </w:tc>
        <w:tc>
          <w:tcPr>
            <w:tcW w:w="735" w:type="dxa"/>
          </w:tcPr>
          <w:p w14:paraId="3064DB42">
            <w:pPr>
              <w:spacing w:line="360" w:lineRule="auto"/>
            </w:pPr>
            <w:r>
              <w:t xml:space="preserve"> Ni</w:t>
            </w:r>
          </w:p>
          <w:p w14:paraId="283C52F6">
            <w:pPr>
              <w:spacing w:line="360" w:lineRule="auto"/>
            </w:pPr>
            <w:r>
              <w:t xml:space="preserve"> Min</w:t>
            </w:r>
          </w:p>
        </w:tc>
        <w:tc>
          <w:tcPr>
            <w:tcW w:w="735" w:type="dxa"/>
          </w:tcPr>
          <w:p w14:paraId="2D4774FF">
            <w:pPr>
              <w:spacing w:line="360" w:lineRule="auto"/>
            </w:pPr>
            <w:r>
              <w:t xml:space="preserve"> Cn</w:t>
            </w:r>
          </w:p>
          <w:p w14:paraId="29601502">
            <w:pPr>
              <w:spacing w:line="360" w:lineRule="auto"/>
            </w:pPr>
            <w:r>
              <w:t xml:space="preserve"> Min</w:t>
            </w:r>
          </w:p>
        </w:tc>
        <w:tc>
          <w:tcPr>
            <w:tcW w:w="735" w:type="dxa"/>
          </w:tcPr>
          <w:p w14:paraId="6612B44F">
            <w:pPr>
              <w:spacing w:line="360" w:lineRule="auto"/>
            </w:pPr>
            <w:r>
              <w:t xml:space="preserve"> Mn</w:t>
            </w:r>
          </w:p>
          <w:p w14:paraId="769C1895">
            <w:pPr>
              <w:spacing w:line="360" w:lineRule="auto"/>
            </w:pPr>
            <w:r>
              <w:t xml:space="preserve"> max</w:t>
            </w:r>
          </w:p>
        </w:tc>
        <w:tc>
          <w:tcPr>
            <w:tcW w:w="735" w:type="dxa"/>
          </w:tcPr>
          <w:p w14:paraId="5D67FCD2">
            <w:pPr>
              <w:spacing w:line="360" w:lineRule="auto"/>
            </w:pPr>
            <w:r>
              <w:t xml:space="preserve"> Fe</w:t>
            </w:r>
          </w:p>
          <w:p w14:paraId="795AE551">
            <w:pPr>
              <w:spacing w:line="360" w:lineRule="auto"/>
            </w:pPr>
            <w:r>
              <w:t xml:space="preserve"> max</w:t>
            </w:r>
          </w:p>
        </w:tc>
        <w:tc>
          <w:tcPr>
            <w:tcW w:w="735" w:type="dxa"/>
          </w:tcPr>
          <w:p w14:paraId="2F1C5D3F">
            <w:pPr>
              <w:spacing w:line="360" w:lineRule="auto"/>
            </w:pPr>
            <w:r>
              <w:t xml:space="preserve"> Pb</w:t>
            </w:r>
          </w:p>
          <w:p w14:paraId="6E32076F">
            <w:pPr>
              <w:spacing w:line="360" w:lineRule="auto"/>
            </w:pPr>
            <w:r>
              <w:t xml:space="preserve"> max</w:t>
            </w:r>
          </w:p>
        </w:tc>
        <w:tc>
          <w:tcPr>
            <w:tcW w:w="735" w:type="dxa"/>
          </w:tcPr>
          <w:p w14:paraId="10542D74">
            <w:pPr>
              <w:spacing w:line="360" w:lineRule="auto"/>
            </w:pPr>
            <w:r>
              <w:t xml:space="preserve"> As</w:t>
            </w:r>
          </w:p>
          <w:p w14:paraId="086085FF">
            <w:pPr>
              <w:spacing w:line="360" w:lineRule="auto"/>
            </w:pPr>
            <w:r>
              <w:t xml:space="preserve"> min</w:t>
            </w:r>
          </w:p>
        </w:tc>
        <w:tc>
          <w:tcPr>
            <w:tcW w:w="735" w:type="dxa"/>
          </w:tcPr>
          <w:p w14:paraId="7A014CB8">
            <w:pPr>
              <w:spacing w:line="360" w:lineRule="auto"/>
            </w:pPr>
            <w:r>
              <w:t xml:space="preserve"> Sn</w:t>
            </w:r>
          </w:p>
          <w:p w14:paraId="1EE91AD1">
            <w:pPr>
              <w:spacing w:line="360" w:lineRule="auto"/>
            </w:pPr>
            <w:r>
              <w:t xml:space="preserve"> min</w:t>
            </w:r>
          </w:p>
        </w:tc>
        <w:tc>
          <w:tcPr>
            <w:tcW w:w="735" w:type="dxa"/>
          </w:tcPr>
          <w:p w14:paraId="6FB69406">
            <w:pPr>
              <w:spacing w:line="360" w:lineRule="auto"/>
            </w:pPr>
            <w:r>
              <w:t xml:space="preserve"> Zn</w:t>
            </w:r>
          </w:p>
          <w:p w14:paraId="4A598AB0">
            <w:pPr>
              <w:spacing w:line="360" w:lineRule="auto"/>
            </w:pPr>
            <w:r>
              <w:t xml:space="preserve"> min</w:t>
            </w:r>
          </w:p>
        </w:tc>
      </w:tr>
      <w:tr w14:paraId="7AC31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3BCAB612">
            <w:pPr>
              <w:spacing w:line="360" w:lineRule="auto"/>
            </w:pPr>
            <w:r>
              <w:rPr>
                <w:rFonts w:hint="eastAsia"/>
              </w:rPr>
              <w:t>奥氏体不锈钢</w:t>
            </w:r>
            <w:r>
              <w:rPr>
                <w:rFonts w:hint="eastAsia"/>
                <w:vertAlign w:val="superscript"/>
              </w:rPr>
              <w:t>3）</w:t>
            </w:r>
          </w:p>
        </w:tc>
        <w:tc>
          <w:tcPr>
            <w:tcW w:w="735" w:type="dxa"/>
          </w:tcPr>
          <w:p w14:paraId="6AB799BE">
            <w:pPr>
              <w:spacing w:line="360" w:lineRule="auto"/>
              <w:jc w:val="center"/>
            </w:pPr>
            <w:r>
              <w:t>0.10</w:t>
            </w:r>
          </w:p>
        </w:tc>
        <w:tc>
          <w:tcPr>
            <w:tcW w:w="735" w:type="dxa"/>
          </w:tcPr>
          <w:p w14:paraId="2091F99F">
            <w:pPr>
              <w:spacing w:line="360" w:lineRule="auto"/>
              <w:jc w:val="center"/>
            </w:pPr>
            <w:r>
              <w:t>17</w:t>
            </w:r>
          </w:p>
        </w:tc>
        <w:tc>
          <w:tcPr>
            <w:tcW w:w="735" w:type="dxa"/>
          </w:tcPr>
          <w:p w14:paraId="1B221C4F">
            <w:pPr>
              <w:spacing w:line="360" w:lineRule="auto"/>
              <w:jc w:val="center"/>
            </w:pPr>
            <w:r>
              <w:t>8</w:t>
            </w:r>
          </w:p>
        </w:tc>
        <w:tc>
          <w:tcPr>
            <w:tcW w:w="735" w:type="dxa"/>
          </w:tcPr>
          <w:p w14:paraId="06A4CA7C">
            <w:pPr>
              <w:spacing w:line="360" w:lineRule="auto"/>
              <w:jc w:val="center"/>
            </w:pPr>
          </w:p>
        </w:tc>
        <w:tc>
          <w:tcPr>
            <w:tcW w:w="735" w:type="dxa"/>
          </w:tcPr>
          <w:p w14:paraId="7AF8AAF8">
            <w:pPr>
              <w:spacing w:line="360" w:lineRule="auto"/>
              <w:jc w:val="center"/>
            </w:pPr>
          </w:p>
        </w:tc>
        <w:tc>
          <w:tcPr>
            <w:tcW w:w="735" w:type="dxa"/>
          </w:tcPr>
          <w:p w14:paraId="30C3E794">
            <w:pPr>
              <w:spacing w:line="360" w:lineRule="auto"/>
              <w:jc w:val="center"/>
            </w:pPr>
          </w:p>
        </w:tc>
        <w:tc>
          <w:tcPr>
            <w:tcW w:w="735" w:type="dxa"/>
          </w:tcPr>
          <w:p w14:paraId="6697D96D">
            <w:pPr>
              <w:spacing w:line="360" w:lineRule="auto"/>
              <w:jc w:val="center"/>
            </w:pPr>
          </w:p>
        </w:tc>
        <w:tc>
          <w:tcPr>
            <w:tcW w:w="735" w:type="dxa"/>
          </w:tcPr>
          <w:p w14:paraId="6A7D216F">
            <w:pPr>
              <w:spacing w:line="360" w:lineRule="auto"/>
              <w:jc w:val="center"/>
            </w:pPr>
          </w:p>
        </w:tc>
        <w:tc>
          <w:tcPr>
            <w:tcW w:w="735" w:type="dxa"/>
          </w:tcPr>
          <w:p w14:paraId="5D787C4F">
            <w:pPr>
              <w:spacing w:line="360" w:lineRule="auto"/>
              <w:jc w:val="center"/>
            </w:pPr>
          </w:p>
        </w:tc>
        <w:tc>
          <w:tcPr>
            <w:tcW w:w="735" w:type="dxa"/>
          </w:tcPr>
          <w:p w14:paraId="7245CC7F">
            <w:pPr>
              <w:spacing w:line="360" w:lineRule="auto"/>
              <w:jc w:val="center"/>
            </w:pPr>
          </w:p>
        </w:tc>
      </w:tr>
      <w:tr w14:paraId="2A813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28539203">
            <w:pPr>
              <w:spacing w:line="360" w:lineRule="auto"/>
            </w:pPr>
            <w:r>
              <w:rPr>
                <w:rFonts w:hint="eastAsia"/>
              </w:rPr>
              <w:t>铁素体不锈钢</w:t>
            </w:r>
            <w:r>
              <w:rPr>
                <w:rFonts w:hint="eastAsia"/>
                <w:vertAlign w:val="superscript"/>
              </w:rPr>
              <w:t>3）</w:t>
            </w:r>
          </w:p>
        </w:tc>
        <w:tc>
          <w:tcPr>
            <w:tcW w:w="735" w:type="dxa"/>
          </w:tcPr>
          <w:p w14:paraId="2915556F">
            <w:pPr>
              <w:spacing w:line="360" w:lineRule="auto"/>
              <w:jc w:val="center"/>
            </w:pPr>
            <w:r>
              <w:t>0.10</w:t>
            </w:r>
          </w:p>
        </w:tc>
        <w:tc>
          <w:tcPr>
            <w:tcW w:w="735" w:type="dxa"/>
          </w:tcPr>
          <w:p w14:paraId="327B3CB8">
            <w:pPr>
              <w:spacing w:line="360" w:lineRule="auto"/>
              <w:jc w:val="center"/>
            </w:pPr>
            <w:r>
              <w:rPr>
                <w:rFonts w:hint="eastAsia"/>
              </w:rPr>
              <w:t>13</w:t>
            </w:r>
          </w:p>
        </w:tc>
        <w:tc>
          <w:tcPr>
            <w:tcW w:w="735" w:type="dxa"/>
          </w:tcPr>
          <w:p w14:paraId="3CD53DEE">
            <w:pPr>
              <w:spacing w:line="360" w:lineRule="auto"/>
              <w:jc w:val="center"/>
            </w:pPr>
          </w:p>
        </w:tc>
        <w:tc>
          <w:tcPr>
            <w:tcW w:w="735" w:type="dxa"/>
          </w:tcPr>
          <w:p w14:paraId="5BB59A31">
            <w:pPr>
              <w:spacing w:line="360" w:lineRule="auto"/>
              <w:jc w:val="center"/>
            </w:pPr>
          </w:p>
        </w:tc>
        <w:tc>
          <w:tcPr>
            <w:tcW w:w="735" w:type="dxa"/>
          </w:tcPr>
          <w:p w14:paraId="60E9359F">
            <w:pPr>
              <w:spacing w:line="360" w:lineRule="auto"/>
              <w:jc w:val="center"/>
            </w:pPr>
          </w:p>
        </w:tc>
        <w:tc>
          <w:tcPr>
            <w:tcW w:w="735" w:type="dxa"/>
          </w:tcPr>
          <w:p w14:paraId="6DBAFD36">
            <w:pPr>
              <w:spacing w:line="360" w:lineRule="auto"/>
              <w:jc w:val="center"/>
            </w:pPr>
          </w:p>
        </w:tc>
        <w:tc>
          <w:tcPr>
            <w:tcW w:w="735" w:type="dxa"/>
          </w:tcPr>
          <w:p w14:paraId="3990E266">
            <w:pPr>
              <w:spacing w:line="360" w:lineRule="auto"/>
              <w:jc w:val="center"/>
            </w:pPr>
          </w:p>
        </w:tc>
        <w:tc>
          <w:tcPr>
            <w:tcW w:w="735" w:type="dxa"/>
          </w:tcPr>
          <w:p w14:paraId="064A3E8C">
            <w:pPr>
              <w:spacing w:line="360" w:lineRule="auto"/>
              <w:jc w:val="center"/>
            </w:pPr>
          </w:p>
        </w:tc>
        <w:tc>
          <w:tcPr>
            <w:tcW w:w="735" w:type="dxa"/>
          </w:tcPr>
          <w:p w14:paraId="694E2C04">
            <w:pPr>
              <w:spacing w:line="360" w:lineRule="auto"/>
              <w:jc w:val="center"/>
            </w:pPr>
          </w:p>
        </w:tc>
        <w:tc>
          <w:tcPr>
            <w:tcW w:w="735" w:type="dxa"/>
          </w:tcPr>
          <w:p w14:paraId="76FB8744">
            <w:pPr>
              <w:spacing w:line="360" w:lineRule="auto"/>
              <w:jc w:val="center"/>
            </w:pPr>
          </w:p>
        </w:tc>
      </w:tr>
      <w:tr w14:paraId="4D20F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3A62AAEC">
            <w:pPr>
              <w:spacing w:line="360" w:lineRule="auto"/>
            </w:pPr>
            <w:r>
              <w:rPr>
                <w:rFonts w:hint="eastAsia"/>
              </w:rPr>
              <w:t>低碳钢</w:t>
            </w:r>
          </w:p>
        </w:tc>
        <w:tc>
          <w:tcPr>
            <w:tcW w:w="735" w:type="dxa"/>
          </w:tcPr>
          <w:p w14:paraId="764400B0">
            <w:pPr>
              <w:spacing w:line="360" w:lineRule="auto"/>
              <w:jc w:val="center"/>
            </w:pPr>
            <w:r>
              <w:t>0.08</w:t>
            </w:r>
          </w:p>
        </w:tc>
        <w:tc>
          <w:tcPr>
            <w:tcW w:w="735" w:type="dxa"/>
          </w:tcPr>
          <w:p w14:paraId="29DB61CA">
            <w:pPr>
              <w:spacing w:line="360" w:lineRule="auto"/>
              <w:jc w:val="center"/>
            </w:pPr>
            <w:r>
              <w:t>0.087</w:t>
            </w:r>
          </w:p>
        </w:tc>
        <w:tc>
          <w:tcPr>
            <w:tcW w:w="735" w:type="dxa"/>
          </w:tcPr>
          <w:p w14:paraId="604353FA">
            <w:pPr>
              <w:spacing w:line="360" w:lineRule="auto"/>
              <w:jc w:val="center"/>
            </w:pPr>
          </w:p>
        </w:tc>
        <w:tc>
          <w:tcPr>
            <w:tcW w:w="735" w:type="dxa"/>
          </w:tcPr>
          <w:p w14:paraId="11F9969C">
            <w:pPr>
              <w:spacing w:line="360" w:lineRule="auto"/>
              <w:jc w:val="center"/>
            </w:pPr>
          </w:p>
        </w:tc>
        <w:tc>
          <w:tcPr>
            <w:tcW w:w="735" w:type="dxa"/>
          </w:tcPr>
          <w:p w14:paraId="2F138AA8">
            <w:pPr>
              <w:spacing w:line="360" w:lineRule="auto"/>
              <w:jc w:val="center"/>
            </w:pPr>
            <w:r>
              <w:t>0.45</w:t>
            </w:r>
          </w:p>
        </w:tc>
        <w:tc>
          <w:tcPr>
            <w:tcW w:w="735" w:type="dxa"/>
          </w:tcPr>
          <w:p w14:paraId="1BBB1A69">
            <w:pPr>
              <w:spacing w:line="360" w:lineRule="auto"/>
              <w:jc w:val="center"/>
            </w:pPr>
          </w:p>
        </w:tc>
        <w:tc>
          <w:tcPr>
            <w:tcW w:w="735" w:type="dxa"/>
          </w:tcPr>
          <w:p w14:paraId="73F0FDA4">
            <w:pPr>
              <w:spacing w:line="360" w:lineRule="auto"/>
              <w:jc w:val="center"/>
            </w:pPr>
          </w:p>
        </w:tc>
        <w:tc>
          <w:tcPr>
            <w:tcW w:w="735" w:type="dxa"/>
          </w:tcPr>
          <w:p w14:paraId="7F3F7210">
            <w:pPr>
              <w:spacing w:line="360" w:lineRule="auto"/>
              <w:jc w:val="center"/>
            </w:pPr>
          </w:p>
        </w:tc>
        <w:tc>
          <w:tcPr>
            <w:tcW w:w="735" w:type="dxa"/>
          </w:tcPr>
          <w:p w14:paraId="4007C8D2">
            <w:pPr>
              <w:spacing w:line="360" w:lineRule="auto"/>
              <w:jc w:val="center"/>
            </w:pPr>
          </w:p>
        </w:tc>
        <w:tc>
          <w:tcPr>
            <w:tcW w:w="735" w:type="dxa"/>
          </w:tcPr>
          <w:p w14:paraId="05B0079E">
            <w:pPr>
              <w:spacing w:line="360" w:lineRule="auto"/>
              <w:jc w:val="center"/>
            </w:pPr>
          </w:p>
        </w:tc>
      </w:tr>
      <w:tr w14:paraId="1D9D7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1" w:type="dxa"/>
          </w:tcPr>
          <w:p w14:paraId="05CBC21B">
            <w:pPr>
              <w:spacing w:line="360" w:lineRule="auto"/>
            </w:pPr>
            <w:r>
              <w:rPr>
                <w:rFonts w:hint="eastAsia"/>
              </w:rPr>
              <w:t>镍银（C</w:t>
            </w:r>
            <w:r>
              <w:t>u</w:t>
            </w:r>
            <w:r>
              <w:rPr>
                <w:rFonts w:hint="eastAsia"/>
              </w:rPr>
              <w:t>、</w:t>
            </w:r>
            <w:r>
              <w:t>Ni</w:t>
            </w:r>
            <w:r>
              <w:rPr>
                <w:rFonts w:hint="eastAsia"/>
              </w:rPr>
              <w:t>、</w:t>
            </w:r>
            <w:r>
              <w:t>Zn</w:t>
            </w:r>
            <w:r>
              <w:rPr>
                <w:rFonts w:hint="eastAsia"/>
              </w:rPr>
              <w:t>）</w:t>
            </w:r>
          </w:p>
        </w:tc>
        <w:tc>
          <w:tcPr>
            <w:tcW w:w="1470" w:type="dxa"/>
            <w:gridSpan w:val="2"/>
          </w:tcPr>
          <w:p w14:paraId="74E24ABD">
            <w:pPr>
              <w:spacing w:line="360" w:lineRule="auto"/>
              <w:jc w:val="center"/>
            </w:pPr>
          </w:p>
        </w:tc>
        <w:tc>
          <w:tcPr>
            <w:tcW w:w="735" w:type="dxa"/>
          </w:tcPr>
          <w:p w14:paraId="285A390F">
            <w:pPr>
              <w:spacing w:line="360" w:lineRule="auto"/>
              <w:jc w:val="center"/>
            </w:pPr>
            <w:r>
              <w:t>9</w:t>
            </w:r>
          </w:p>
        </w:tc>
        <w:tc>
          <w:tcPr>
            <w:tcW w:w="735" w:type="dxa"/>
          </w:tcPr>
          <w:p w14:paraId="284BCCCB">
            <w:pPr>
              <w:spacing w:line="360" w:lineRule="auto"/>
              <w:jc w:val="center"/>
            </w:pPr>
            <w:r>
              <w:t>60</w:t>
            </w:r>
          </w:p>
        </w:tc>
        <w:tc>
          <w:tcPr>
            <w:tcW w:w="735" w:type="dxa"/>
          </w:tcPr>
          <w:p w14:paraId="7EFC4123">
            <w:pPr>
              <w:spacing w:line="360" w:lineRule="auto"/>
              <w:jc w:val="center"/>
            </w:pPr>
            <w:r>
              <w:t>0.5</w:t>
            </w:r>
          </w:p>
        </w:tc>
        <w:tc>
          <w:tcPr>
            <w:tcW w:w="735" w:type="dxa"/>
          </w:tcPr>
          <w:p w14:paraId="2E5BE12A">
            <w:pPr>
              <w:spacing w:line="360" w:lineRule="auto"/>
              <w:jc w:val="center"/>
            </w:pPr>
            <w:r>
              <w:t>0.3</w:t>
            </w:r>
          </w:p>
        </w:tc>
        <w:tc>
          <w:tcPr>
            <w:tcW w:w="735" w:type="dxa"/>
          </w:tcPr>
          <w:p w14:paraId="15D9CF11">
            <w:pPr>
              <w:spacing w:line="360" w:lineRule="auto"/>
              <w:jc w:val="center"/>
            </w:pPr>
            <w:r>
              <w:t>0.5</w:t>
            </w:r>
          </w:p>
        </w:tc>
        <w:tc>
          <w:tcPr>
            <w:tcW w:w="2205" w:type="dxa"/>
            <w:gridSpan w:val="3"/>
          </w:tcPr>
          <w:p w14:paraId="5FE98B9A">
            <w:pPr>
              <w:spacing w:line="360" w:lineRule="auto"/>
              <w:jc w:val="center"/>
            </w:pPr>
          </w:p>
        </w:tc>
      </w:tr>
      <w:tr w14:paraId="5D875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1" w:type="dxa"/>
          </w:tcPr>
          <w:p w14:paraId="3CF59A96">
            <w:pPr>
              <w:spacing w:line="360" w:lineRule="auto"/>
            </w:pPr>
            <w:r>
              <w:rPr>
                <w:rFonts w:hint="eastAsia"/>
              </w:rPr>
              <w:t>黄铜（</w:t>
            </w:r>
            <w:r>
              <w:t>Cu</w:t>
            </w:r>
            <w:r>
              <w:rPr>
                <w:rFonts w:hint="eastAsia"/>
              </w:rPr>
              <w:t>、</w:t>
            </w:r>
            <w:r>
              <w:t>Zn</w:t>
            </w:r>
            <w:r>
              <w:rPr>
                <w:rFonts w:hint="eastAsia"/>
              </w:rPr>
              <w:t>）</w:t>
            </w:r>
          </w:p>
        </w:tc>
        <w:tc>
          <w:tcPr>
            <w:tcW w:w="2205" w:type="dxa"/>
            <w:gridSpan w:val="3"/>
          </w:tcPr>
          <w:p w14:paraId="35384462">
            <w:pPr>
              <w:spacing w:line="360" w:lineRule="auto"/>
              <w:jc w:val="center"/>
            </w:pPr>
          </w:p>
        </w:tc>
        <w:tc>
          <w:tcPr>
            <w:tcW w:w="735" w:type="dxa"/>
          </w:tcPr>
          <w:p w14:paraId="4AA43FEA">
            <w:pPr>
              <w:spacing w:line="360" w:lineRule="auto"/>
              <w:jc w:val="center"/>
            </w:pPr>
            <w:r>
              <w:t>60</w:t>
            </w:r>
          </w:p>
        </w:tc>
        <w:tc>
          <w:tcPr>
            <w:tcW w:w="735" w:type="dxa"/>
          </w:tcPr>
          <w:p w14:paraId="1A34C575">
            <w:pPr>
              <w:spacing w:line="360" w:lineRule="auto"/>
              <w:jc w:val="center"/>
            </w:pPr>
          </w:p>
        </w:tc>
        <w:tc>
          <w:tcPr>
            <w:tcW w:w="735" w:type="dxa"/>
          </w:tcPr>
          <w:p w14:paraId="7587DDFC">
            <w:pPr>
              <w:spacing w:line="360" w:lineRule="auto"/>
              <w:jc w:val="center"/>
            </w:pPr>
          </w:p>
        </w:tc>
        <w:tc>
          <w:tcPr>
            <w:tcW w:w="735" w:type="dxa"/>
          </w:tcPr>
          <w:p w14:paraId="785C0D7F">
            <w:pPr>
              <w:spacing w:line="360" w:lineRule="auto"/>
              <w:jc w:val="center"/>
            </w:pPr>
            <w:r>
              <w:t>3.5</w:t>
            </w:r>
            <w:r>
              <w:rPr>
                <w:rFonts w:hint="eastAsia"/>
                <w:vertAlign w:val="superscript"/>
              </w:rPr>
              <w:t>2）</w:t>
            </w:r>
          </w:p>
        </w:tc>
        <w:tc>
          <w:tcPr>
            <w:tcW w:w="2205" w:type="dxa"/>
            <w:gridSpan w:val="3"/>
          </w:tcPr>
          <w:p w14:paraId="7E7EB233">
            <w:pPr>
              <w:spacing w:line="360" w:lineRule="auto"/>
              <w:jc w:val="center"/>
            </w:pPr>
          </w:p>
        </w:tc>
      </w:tr>
      <w:tr w14:paraId="4C183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1" w:type="dxa"/>
          </w:tcPr>
          <w:p w14:paraId="2B73E737">
            <w:pPr>
              <w:spacing w:line="360" w:lineRule="auto"/>
            </w:pPr>
            <w:r>
              <w:rPr>
                <w:rFonts w:hint="eastAsia"/>
              </w:rPr>
              <w:t>紫铜</w:t>
            </w:r>
          </w:p>
        </w:tc>
        <w:tc>
          <w:tcPr>
            <w:tcW w:w="2205" w:type="dxa"/>
            <w:gridSpan w:val="3"/>
          </w:tcPr>
          <w:p w14:paraId="1879FB1B">
            <w:pPr>
              <w:spacing w:line="360" w:lineRule="auto"/>
              <w:jc w:val="center"/>
            </w:pPr>
          </w:p>
        </w:tc>
        <w:tc>
          <w:tcPr>
            <w:tcW w:w="735" w:type="dxa"/>
          </w:tcPr>
          <w:p w14:paraId="1AA2F149">
            <w:pPr>
              <w:spacing w:line="360" w:lineRule="auto"/>
              <w:jc w:val="center"/>
            </w:pPr>
            <w:r>
              <w:t>99.4</w:t>
            </w:r>
          </w:p>
        </w:tc>
        <w:tc>
          <w:tcPr>
            <w:tcW w:w="735" w:type="dxa"/>
          </w:tcPr>
          <w:p w14:paraId="780F3304">
            <w:pPr>
              <w:spacing w:line="360" w:lineRule="auto"/>
              <w:jc w:val="center"/>
            </w:pPr>
          </w:p>
        </w:tc>
        <w:tc>
          <w:tcPr>
            <w:tcW w:w="735" w:type="dxa"/>
          </w:tcPr>
          <w:p w14:paraId="7A2514D0">
            <w:pPr>
              <w:spacing w:line="360" w:lineRule="auto"/>
              <w:jc w:val="center"/>
            </w:pPr>
          </w:p>
        </w:tc>
        <w:tc>
          <w:tcPr>
            <w:tcW w:w="735" w:type="dxa"/>
          </w:tcPr>
          <w:p w14:paraId="7B9C7335">
            <w:pPr>
              <w:spacing w:line="360" w:lineRule="auto"/>
              <w:jc w:val="center"/>
            </w:pPr>
            <w:r>
              <w:t>0.2</w:t>
            </w:r>
          </w:p>
        </w:tc>
        <w:tc>
          <w:tcPr>
            <w:tcW w:w="735" w:type="dxa"/>
          </w:tcPr>
          <w:p w14:paraId="3BFCBE00">
            <w:pPr>
              <w:spacing w:line="360" w:lineRule="auto"/>
              <w:jc w:val="center"/>
            </w:pPr>
            <w:r>
              <w:t>0.2</w:t>
            </w:r>
          </w:p>
        </w:tc>
        <w:tc>
          <w:tcPr>
            <w:tcW w:w="1470" w:type="dxa"/>
            <w:gridSpan w:val="2"/>
          </w:tcPr>
          <w:p w14:paraId="6A11E8AE">
            <w:pPr>
              <w:spacing w:line="360" w:lineRule="auto"/>
              <w:jc w:val="center"/>
            </w:pPr>
          </w:p>
        </w:tc>
      </w:tr>
      <w:tr w14:paraId="1AEEA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trPr>
        <w:tc>
          <w:tcPr>
            <w:tcW w:w="1951" w:type="dxa"/>
          </w:tcPr>
          <w:p w14:paraId="58FCD6C8">
            <w:pPr>
              <w:spacing w:line="360" w:lineRule="auto"/>
            </w:pPr>
            <w:r>
              <w:rPr>
                <w:rFonts w:hint="eastAsia"/>
              </w:rPr>
              <w:t>ISO 301</w:t>
            </w:r>
          </w:p>
          <w:p w14:paraId="76C88AB9">
            <w:pPr>
              <w:spacing w:line="360" w:lineRule="auto"/>
            </w:pPr>
            <w:r>
              <w:rPr>
                <w:rFonts w:hint="eastAsia"/>
              </w:rPr>
              <w:t>合金ZnA14</w:t>
            </w:r>
          </w:p>
        </w:tc>
        <w:tc>
          <w:tcPr>
            <w:tcW w:w="2205" w:type="dxa"/>
            <w:gridSpan w:val="3"/>
            <w:vMerge w:val="restart"/>
          </w:tcPr>
          <w:p w14:paraId="067ED3C5">
            <w:pPr>
              <w:spacing w:line="360" w:lineRule="auto"/>
              <w:jc w:val="center"/>
            </w:pPr>
          </w:p>
        </w:tc>
        <w:tc>
          <w:tcPr>
            <w:tcW w:w="735" w:type="dxa"/>
            <w:vMerge w:val="restart"/>
          </w:tcPr>
          <w:p w14:paraId="4A8EEA15">
            <w:pPr>
              <w:spacing w:line="360" w:lineRule="auto"/>
              <w:jc w:val="center"/>
            </w:pPr>
          </w:p>
          <w:p w14:paraId="67B70656">
            <w:pPr>
              <w:spacing w:line="360" w:lineRule="auto"/>
              <w:jc w:val="center"/>
            </w:pPr>
          </w:p>
          <w:p w14:paraId="737B01DB">
            <w:pPr>
              <w:spacing w:line="360" w:lineRule="auto"/>
              <w:jc w:val="center"/>
            </w:pPr>
          </w:p>
          <w:p w14:paraId="51032EFC">
            <w:pPr>
              <w:spacing w:line="360" w:lineRule="auto"/>
              <w:jc w:val="center"/>
            </w:pPr>
            <w:r>
              <w:rPr>
                <w:rFonts w:hint="eastAsia"/>
              </w:rPr>
              <w:t>Max</w:t>
            </w:r>
          </w:p>
          <w:p w14:paraId="022E6047">
            <w:pPr>
              <w:spacing w:line="360" w:lineRule="auto"/>
              <w:jc w:val="center"/>
            </w:pPr>
            <w:r>
              <w:rPr>
                <w:rFonts w:hint="eastAsia"/>
              </w:rPr>
              <w:t>1</w:t>
            </w:r>
          </w:p>
        </w:tc>
        <w:tc>
          <w:tcPr>
            <w:tcW w:w="735" w:type="dxa"/>
            <w:vMerge w:val="restart"/>
          </w:tcPr>
          <w:p w14:paraId="48303864">
            <w:pPr>
              <w:spacing w:line="360" w:lineRule="auto"/>
              <w:jc w:val="center"/>
            </w:pPr>
          </w:p>
        </w:tc>
        <w:tc>
          <w:tcPr>
            <w:tcW w:w="735" w:type="dxa"/>
            <w:vMerge w:val="restart"/>
          </w:tcPr>
          <w:p w14:paraId="7CF041CC">
            <w:pPr>
              <w:spacing w:line="360" w:lineRule="auto"/>
              <w:jc w:val="center"/>
            </w:pPr>
          </w:p>
        </w:tc>
        <w:tc>
          <w:tcPr>
            <w:tcW w:w="735" w:type="dxa"/>
            <w:vMerge w:val="restart"/>
          </w:tcPr>
          <w:p w14:paraId="28192E6A">
            <w:pPr>
              <w:spacing w:line="360" w:lineRule="auto"/>
              <w:jc w:val="center"/>
            </w:pPr>
          </w:p>
        </w:tc>
        <w:tc>
          <w:tcPr>
            <w:tcW w:w="2205" w:type="dxa"/>
            <w:gridSpan w:val="3"/>
            <w:vMerge w:val="restart"/>
          </w:tcPr>
          <w:p w14:paraId="6916635C">
            <w:pPr>
              <w:spacing w:line="360" w:lineRule="auto"/>
              <w:jc w:val="center"/>
            </w:pPr>
          </w:p>
        </w:tc>
      </w:tr>
      <w:tr w14:paraId="291D2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1" w:type="dxa"/>
          </w:tcPr>
          <w:p w14:paraId="51444F9F">
            <w:pPr>
              <w:spacing w:line="360" w:lineRule="auto"/>
            </w:pPr>
            <w:r>
              <w:rPr>
                <w:rFonts w:hint="eastAsia"/>
              </w:rPr>
              <w:t>ISO 301</w:t>
            </w:r>
          </w:p>
          <w:p w14:paraId="44AF56C9">
            <w:pPr>
              <w:spacing w:line="360" w:lineRule="auto"/>
            </w:pPr>
            <w:r>
              <w:rPr>
                <w:rFonts w:hint="eastAsia"/>
              </w:rPr>
              <w:t>合金ZnA14Cn1</w:t>
            </w:r>
          </w:p>
        </w:tc>
        <w:tc>
          <w:tcPr>
            <w:tcW w:w="2205" w:type="dxa"/>
            <w:gridSpan w:val="3"/>
            <w:vMerge w:val="continue"/>
          </w:tcPr>
          <w:p w14:paraId="15A13690">
            <w:pPr>
              <w:spacing w:line="360" w:lineRule="auto"/>
              <w:jc w:val="center"/>
            </w:pPr>
          </w:p>
        </w:tc>
        <w:tc>
          <w:tcPr>
            <w:tcW w:w="735" w:type="dxa"/>
            <w:vMerge w:val="continue"/>
          </w:tcPr>
          <w:p w14:paraId="64B6E81C">
            <w:pPr>
              <w:spacing w:line="360" w:lineRule="auto"/>
              <w:jc w:val="center"/>
            </w:pPr>
          </w:p>
        </w:tc>
        <w:tc>
          <w:tcPr>
            <w:tcW w:w="735" w:type="dxa"/>
            <w:vMerge w:val="continue"/>
          </w:tcPr>
          <w:p w14:paraId="57F3640B">
            <w:pPr>
              <w:spacing w:line="360" w:lineRule="auto"/>
              <w:jc w:val="center"/>
            </w:pPr>
          </w:p>
        </w:tc>
        <w:tc>
          <w:tcPr>
            <w:tcW w:w="735" w:type="dxa"/>
            <w:vMerge w:val="continue"/>
          </w:tcPr>
          <w:p w14:paraId="2F51ED16">
            <w:pPr>
              <w:spacing w:line="360" w:lineRule="auto"/>
              <w:jc w:val="center"/>
            </w:pPr>
          </w:p>
        </w:tc>
        <w:tc>
          <w:tcPr>
            <w:tcW w:w="735" w:type="dxa"/>
            <w:vMerge w:val="continue"/>
          </w:tcPr>
          <w:p w14:paraId="75013ED4">
            <w:pPr>
              <w:spacing w:line="360" w:lineRule="auto"/>
              <w:jc w:val="center"/>
            </w:pPr>
          </w:p>
        </w:tc>
        <w:tc>
          <w:tcPr>
            <w:tcW w:w="2205" w:type="dxa"/>
            <w:gridSpan w:val="3"/>
            <w:vMerge w:val="continue"/>
          </w:tcPr>
          <w:p w14:paraId="4BD4430D">
            <w:pPr>
              <w:spacing w:line="360" w:lineRule="auto"/>
              <w:jc w:val="center"/>
            </w:pPr>
          </w:p>
        </w:tc>
      </w:tr>
      <w:tr w14:paraId="630ED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1" w:type="dxa"/>
          </w:tcPr>
          <w:p w14:paraId="5DDE9D80">
            <w:pPr>
              <w:spacing w:line="360" w:lineRule="auto"/>
            </w:pPr>
            <w:r>
              <w:rPr>
                <w:rFonts w:hint="eastAsia"/>
              </w:rPr>
              <w:t>锡铅合金</w:t>
            </w:r>
          </w:p>
        </w:tc>
        <w:tc>
          <w:tcPr>
            <w:tcW w:w="4410" w:type="dxa"/>
            <w:gridSpan w:val="6"/>
          </w:tcPr>
          <w:p w14:paraId="404D2160">
            <w:pPr>
              <w:spacing w:line="360" w:lineRule="auto"/>
              <w:jc w:val="center"/>
            </w:pPr>
          </w:p>
        </w:tc>
        <w:tc>
          <w:tcPr>
            <w:tcW w:w="735" w:type="dxa"/>
          </w:tcPr>
          <w:p w14:paraId="6A062C99">
            <w:pPr>
              <w:spacing w:line="360" w:lineRule="auto"/>
              <w:jc w:val="center"/>
            </w:pPr>
            <w:r>
              <w:rPr>
                <w:rFonts w:hint="eastAsia"/>
              </w:rPr>
              <w:t>0.5</w:t>
            </w:r>
          </w:p>
        </w:tc>
        <w:tc>
          <w:tcPr>
            <w:tcW w:w="735" w:type="dxa"/>
          </w:tcPr>
          <w:p w14:paraId="09E9E9CA">
            <w:pPr>
              <w:spacing w:line="360" w:lineRule="auto"/>
              <w:jc w:val="center"/>
            </w:pPr>
          </w:p>
        </w:tc>
        <w:tc>
          <w:tcPr>
            <w:tcW w:w="735" w:type="dxa"/>
          </w:tcPr>
          <w:p w14:paraId="6DBA95B0">
            <w:pPr>
              <w:spacing w:line="360" w:lineRule="auto"/>
              <w:jc w:val="center"/>
            </w:pPr>
            <w:r>
              <w:rPr>
                <w:rFonts w:hint="eastAsia"/>
              </w:rPr>
              <w:t>90</w:t>
            </w:r>
          </w:p>
        </w:tc>
        <w:tc>
          <w:tcPr>
            <w:tcW w:w="735" w:type="dxa"/>
          </w:tcPr>
          <w:p w14:paraId="2A0D80B1">
            <w:pPr>
              <w:spacing w:line="360" w:lineRule="auto"/>
              <w:jc w:val="center"/>
            </w:pPr>
          </w:p>
        </w:tc>
      </w:tr>
      <w:tr w14:paraId="6DAFA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51" w:type="dxa"/>
          </w:tcPr>
          <w:p w14:paraId="4AFEEAAA">
            <w:pPr>
              <w:spacing w:line="360" w:lineRule="auto"/>
            </w:pPr>
            <w:r>
              <w:rPr>
                <w:rFonts w:hint="eastAsia"/>
              </w:rPr>
              <w:t>合金</w:t>
            </w:r>
            <w:r>
              <w:rPr>
                <w:rFonts w:hint="eastAsia"/>
                <w:vertAlign w:val="superscript"/>
              </w:rPr>
              <w:t>1)</w:t>
            </w:r>
          </w:p>
        </w:tc>
        <w:tc>
          <w:tcPr>
            <w:tcW w:w="4410" w:type="dxa"/>
            <w:gridSpan w:val="6"/>
          </w:tcPr>
          <w:p w14:paraId="307D69FB">
            <w:pPr>
              <w:spacing w:line="360" w:lineRule="auto"/>
              <w:jc w:val="center"/>
            </w:pPr>
          </w:p>
        </w:tc>
        <w:tc>
          <w:tcPr>
            <w:tcW w:w="735" w:type="dxa"/>
          </w:tcPr>
          <w:p w14:paraId="56577D14">
            <w:pPr>
              <w:spacing w:line="360" w:lineRule="auto"/>
              <w:jc w:val="center"/>
            </w:pPr>
            <w:r>
              <w:rPr>
                <w:rFonts w:hint="eastAsia"/>
              </w:rPr>
              <w:t>0.3</w:t>
            </w:r>
          </w:p>
        </w:tc>
        <w:tc>
          <w:tcPr>
            <w:tcW w:w="2205" w:type="dxa"/>
            <w:gridSpan w:val="3"/>
          </w:tcPr>
          <w:p w14:paraId="75663943">
            <w:pPr>
              <w:spacing w:line="360" w:lineRule="auto"/>
              <w:jc w:val="center"/>
            </w:pPr>
          </w:p>
        </w:tc>
      </w:tr>
      <w:tr w14:paraId="7E108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9301" w:type="dxa"/>
            <w:gridSpan w:val="11"/>
          </w:tcPr>
          <w:p w14:paraId="069C93FB">
            <w:pPr>
              <w:adjustRightInd/>
              <w:spacing w:line="360" w:lineRule="auto"/>
              <w:ind w:firstLine="420" w:firstLineChars="200"/>
            </w:pPr>
            <w:r>
              <w:rPr>
                <w:rFonts w:hint="eastAsia"/>
                <w:vertAlign w:val="superscript"/>
              </w:rPr>
              <w:t>1）</w:t>
            </w:r>
            <w:r>
              <w:t>仅适用于不与食品接触的附件</w:t>
            </w:r>
          </w:p>
          <w:p w14:paraId="3FE5A647">
            <w:pPr>
              <w:adjustRightInd/>
              <w:spacing w:line="360" w:lineRule="auto"/>
              <w:ind w:firstLine="420" w:firstLineChars="200"/>
            </w:pPr>
            <w:r>
              <w:rPr>
                <w:rFonts w:hint="eastAsia"/>
                <w:vertAlign w:val="superscript"/>
              </w:rPr>
              <w:t>2）</w:t>
            </w:r>
            <w:r>
              <w:rPr>
                <w:rFonts w:hint="eastAsia"/>
              </w:rPr>
              <w:t>与食品直接接触的部件铅（Pb）含量不得超过 0.05%</w:t>
            </w:r>
          </w:p>
          <w:p w14:paraId="6828BE11">
            <w:pPr>
              <w:adjustRightInd/>
              <w:spacing w:line="360" w:lineRule="auto"/>
              <w:ind w:firstLine="420" w:firstLineChars="200"/>
            </w:pPr>
            <w:r>
              <w:rPr>
                <w:rFonts w:hint="eastAsia"/>
                <w:vertAlign w:val="superscript"/>
              </w:rPr>
              <w:t>3）</w:t>
            </w:r>
            <w:r>
              <w:rPr>
                <w:rFonts w:hint="eastAsia"/>
              </w:rPr>
              <w:t>制品中不锈钢部件的化学成分应符合 EN 10088-1 标准的要求。</w:t>
            </w:r>
          </w:p>
        </w:tc>
      </w:tr>
    </w:tbl>
    <w:p w14:paraId="5C482ADC">
      <w:pPr>
        <w:spacing w:line="360" w:lineRule="auto"/>
        <w:rPr>
          <w:b/>
        </w:rPr>
      </w:pPr>
      <w:r>
        <w:rPr>
          <w:rFonts w:hint="eastAsia"/>
          <w:b/>
        </w:rPr>
        <w:t xml:space="preserve"> </w:t>
      </w:r>
    </w:p>
    <w:p w14:paraId="57A11110">
      <w:pPr>
        <w:spacing w:line="360" w:lineRule="auto"/>
        <w:rPr>
          <w:rFonts w:hint="eastAsia" w:ascii="黑体" w:hAnsi="黑体" w:eastAsia="黑体"/>
          <w:bCs/>
        </w:rPr>
      </w:pPr>
      <w:r>
        <w:rPr>
          <w:rFonts w:hint="eastAsia" w:ascii="黑体" w:hAnsi="黑体" w:eastAsia="黑体"/>
          <w:bCs/>
        </w:rPr>
        <w:t>4.2  非金属</w:t>
      </w:r>
    </w:p>
    <w:p w14:paraId="5918762B">
      <w:pPr>
        <w:spacing w:line="360" w:lineRule="auto"/>
        <w:ind w:left="495"/>
      </w:pPr>
      <w:r>
        <w:t>餐桌</w:t>
      </w:r>
      <w:r>
        <w:rPr>
          <w:rFonts w:hint="eastAsia"/>
        </w:rPr>
        <w:t>用</w:t>
      </w:r>
      <w:r>
        <w:t>器皿的非金属部件应能耐受 50</w:t>
      </w:r>
      <w:r>
        <w:rPr>
          <w:rFonts w:ascii="Cambria Math" w:hAnsi="Cambria Math" w:cs="Cambria Math"/>
        </w:rPr>
        <w:t>℃</w:t>
      </w:r>
      <w:r>
        <w:t>水性洗碗液的洗涤流程，或通过附录 A 规定的测试。</w:t>
      </w:r>
    </w:p>
    <w:p w14:paraId="1A7A23EB">
      <w:pPr>
        <w:spacing w:line="360" w:lineRule="auto"/>
        <w:ind w:left="495"/>
      </w:pPr>
      <w:r>
        <w:rPr>
          <w:rFonts w:hint="eastAsia"/>
        </w:rPr>
        <w:t>注：带有漆层的轻微镀银空心器皿的非金属部件可由玻璃、陶瓷、骨、角、硫化纤维、塑料、木材、木塑层压板或浸渍木材等材料制成。</w:t>
      </w:r>
    </w:p>
    <w:p w14:paraId="5AC0AF1C">
      <w:pPr>
        <w:pStyle w:val="232"/>
        <w:numPr>
          <w:ilvl w:val="0"/>
          <w:numId w:val="33"/>
        </w:numPr>
        <w:adjustRightInd/>
        <w:spacing w:before="240" w:beforeLines="100" w:after="240" w:afterLines="100" w:line="360" w:lineRule="auto"/>
        <w:ind w:left="442" w:hanging="442" w:firstLineChars="0"/>
        <w:rPr>
          <w:rFonts w:hint="eastAsia" w:ascii="黑体" w:hAnsi="黑体" w:eastAsia="黑体"/>
          <w:bCs/>
        </w:rPr>
      </w:pPr>
      <w:r>
        <w:rPr>
          <w:rFonts w:hint="eastAsia" w:ascii="黑体" w:hAnsi="黑体" w:eastAsia="黑体"/>
          <w:bCs/>
        </w:rPr>
        <w:t>结构</w:t>
      </w:r>
    </w:p>
    <w:p w14:paraId="2D0A9C9D">
      <w:pPr>
        <w:spacing w:line="360" w:lineRule="auto"/>
        <w:rPr>
          <w:rFonts w:hint="eastAsia" w:ascii="黑体" w:hAnsi="黑体" w:eastAsia="黑体"/>
          <w:bCs/>
        </w:rPr>
      </w:pPr>
      <w:r>
        <w:rPr>
          <w:rFonts w:hint="eastAsia" w:ascii="黑体" w:hAnsi="黑体" w:eastAsia="黑体"/>
          <w:bCs/>
        </w:rPr>
        <w:t>5.1  平均厚度</w:t>
      </w:r>
    </w:p>
    <w:p w14:paraId="0B270BE7">
      <w:pPr>
        <w:spacing w:line="360" w:lineRule="auto"/>
        <w:ind w:firstLine="420"/>
      </w:pPr>
      <w:r>
        <w:rPr>
          <w:rFonts w:hint="eastAsia"/>
        </w:rPr>
        <w:t>按附录 B（镀层质量测定法）及 EN ISO 8442-2:1997 附录 B（镀层面积测定法）进行检测时，成品各表面（空心器皿的其他表面除外）的银镀层平均厚度应不低于 0.3 μm，且单点最小厚度应不低于 0.2 μm。</w:t>
      </w:r>
    </w:p>
    <w:p w14:paraId="740060BA">
      <w:pPr>
        <w:adjustRightInd/>
        <w:spacing w:line="360" w:lineRule="auto"/>
        <w:rPr>
          <w:rFonts w:hint="eastAsia" w:ascii="黑体" w:hAnsi="黑体" w:eastAsia="黑体"/>
          <w:bCs/>
        </w:rPr>
      </w:pPr>
      <w:r>
        <w:rPr>
          <w:rFonts w:hint="eastAsia" w:ascii="黑体" w:hAnsi="黑体" w:eastAsia="黑体"/>
          <w:bCs/>
        </w:rPr>
        <w:t>5.2  通用性要求及应避免的缺陷</w:t>
      </w:r>
    </w:p>
    <w:p w14:paraId="4D8BA82B">
      <w:pPr>
        <w:spacing w:line="360" w:lineRule="auto"/>
      </w:pPr>
      <w:r>
        <w:rPr>
          <w:rFonts w:ascii="黑体" w:hAnsi="黑体" w:eastAsia="黑体"/>
          <w:bCs/>
        </w:rPr>
        <w:t>5.2.1</w:t>
      </w:r>
      <w:r>
        <w:rPr>
          <w:rFonts w:hint="eastAsia"/>
        </w:rPr>
        <w:t xml:space="preserve">  所有表面均不应有破损或其它缺陷。</w:t>
      </w:r>
    </w:p>
    <w:p w14:paraId="01BF6958">
      <w:pPr>
        <w:spacing w:line="360" w:lineRule="auto"/>
      </w:pPr>
      <w:r>
        <w:rPr>
          <w:rFonts w:ascii="黑体" w:hAnsi="黑体" w:eastAsia="黑体"/>
          <w:bCs/>
        </w:rPr>
        <w:t>5.2.2</w:t>
      </w:r>
      <w:r>
        <w:rPr>
          <w:rFonts w:hint="eastAsia" w:ascii="黑体" w:hAnsi="黑体" w:eastAsia="黑体"/>
          <w:bCs/>
        </w:rPr>
        <w:t xml:space="preserve"> </w:t>
      </w:r>
      <w:r>
        <w:rPr>
          <w:rFonts w:hint="eastAsia"/>
        </w:rPr>
        <w:t xml:space="preserve"> 所有接触的边缘应光滑无毛刺。</w:t>
      </w:r>
    </w:p>
    <w:p w14:paraId="273901C7">
      <w:pPr>
        <w:spacing w:line="360" w:lineRule="auto"/>
      </w:pPr>
      <w:r>
        <w:rPr>
          <w:rFonts w:hint="eastAsia" w:ascii="黑体" w:hAnsi="黑体" w:eastAsia="黑体"/>
          <w:bCs/>
        </w:rPr>
        <w:t>5.2.3</w:t>
      </w:r>
      <w:r>
        <w:rPr>
          <w:rFonts w:hint="eastAsia"/>
          <w:b/>
        </w:rPr>
        <w:t xml:space="preserve">  </w:t>
      </w:r>
      <w:r>
        <w:rPr>
          <w:rFonts w:hint="eastAsia"/>
        </w:rPr>
        <w:t>组件之间的间隙不应超过0</w:t>
      </w:r>
      <w:r>
        <w:t>.4mm，</w:t>
      </w:r>
      <w:r>
        <w:rPr>
          <w:rFonts w:hint="eastAsia"/>
        </w:rPr>
        <w:t>与空心结构的连接处应密封不渗水，除非有特殊要求。</w:t>
      </w:r>
    </w:p>
    <w:p w14:paraId="5105FA99">
      <w:pPr>
        <w:spacing w:line="360" w:lineRule="auto"/>
      </w:pPr>
      <w:r>
        <w:rPr>
          <w:rFonts w:hint="eastAsia" w:ascii="黑体" w:hAnsi="黑体" w:eastAsia="黑体"/>
          <w:bCs/>
        </w:rPr>
        <w:t>5.2.4</w:t>
      </w:r>
      <w:r>
        <w:rPr>
          <w:rFonts w:hint="eastAsia"/>
          <w:b/>
        </w:rPr>
        <w:t xml:space="preserve">  </w:t>
      </w:r>
      <w:r>
        <w:rPr>
          <w:rFonts w:hint="eastAsia"/>
        </w:rPr>
        <w:t>5</w:t>
      </w:r>
      <w:r>
        <w:t>.2.1</w:t>
      </w:r>
      <w:r>
        <w:rPr>
          <w:rFonts w:hint="eastAsia"/>
        </w:rPr>
        <w:t>到</w:t>
      </w:r>
      <w:r>
        <w:t>5.2.3</w:t>
      </w:r>
      <w:r>
        <w:rPr>
          <w:rFonts w:hint="eastAsia"/>
        </w:rPr>
        <w:t>应采用手感或目测检查，5</w:t>
      </w:r>
      <w:r>
        <w:t>.2.3</w:t>
      </w:r>
      <w:r>
        <w:rPr>
          <w:rFonts w:hint="eastAsia"/>
        </w:rPr>
        <w:t>采用相应厚度的塞尺测量。</w:t>
      </w:r>
    </w:p>
    <w:p w14:paraId="6D6B9F1D">
      <w:pPr>
        <w:adjustRightInd/>
        <w:spacing w:line="360" w:lineRule="auto"/>
        <w:rPr>
          <w:rFonts w:hint="eastAsia" w:ascii="黑体" w:hAnsi="黑体" w:eastAsia="黑体"/>
          <w:bCs/>
        </w:rPr>
      </w:pPr>
      <w:r>
        <w:rPr>
          <w:rFonts w:hint="eastAsia" w:ascii="黑体" w:hAnsi="黑体" w:eastAsia="黑体"/>
          <w:bCs/>
        </w:rPr>
        <w:t>5.3  漆层</w:t>
      </w:r>
    </w:p>
    <w:p w14:paraId="54C40C14">
      <w:pPr>
        <w:spacing w:line="360" w:lineRule="auto"/>
        <w:ind w:firstLine="420"/>
      </w:pPr>
      <w:r>
        <w:rPr>
          <w:rFonts w:hint="eastAsia"/>
        </w:rPr>
        <w:t>所有表面应无裂纹及其他缺陷，不得出现晦暗或变色现象。</w:t>
      </w:r>
    </w:p>
    <w:p w14:paraId="00102E84">
      <w:pPr>
        <w:spacing w:line="360" w:lineRule="auto"/>
        <w:ind w:firstLine="420"/>
      </w:pPr>
      <w:r>
        <w:rPr>
          <w:rFonts w:hint="eastAsia"/>
        </w:rPr>
        <w:t xml:space="preserve">注：请注意（EC）No 1935/2004 号和 </w:t>
      </w:r>
      <w:r>
        <w:t>(EU) No 10/2011</w:t>
      </w:r>
      <w:r>
        <w:rPr>
          <w:rFonts w:hint="eastAsia"/>
        </w:rPr>
        <w:t xml:space="preserve"> 号指令的相关要求    </w:t>
      </w:r>
    </w:p>
    <w:p w14:paraId="07D529DD">
      <w:pPr>
        <w:pStyle w:val="232"/>
        <w:numPr>
          <w:ilvl w:val="0"/>
          <w:numId w:val="33"/>
        </w:numPr>
        <w:adjustRightInd/>
        <w:spacing w:before="240" w:beforeLines="100" w:after="240" w:afterLines="100" w:line="360" w:lineRule="auto"/>
        <w:ind w:left="442" w:hanging="442" w:firstLineChars="0"/>
        <w:rPr>
          <w:rFonts w:hint="eastAsia" w:ascii="黑体" w:hAnsi="黑体" w:eastAsia="黑体"/>
          <w:bCs/>
        </w:rPr>
      </w:pPr>
      <w:r>
        <w:rPr>
          <w:rFonts w:hint="eastAsia" w:ascii="黑体" w:hAnsi="黑体" w:eastAsia="黑体"/>
          <w:bCs/>
        </w:rPr>
        <w:t>性能要求</w:t>
      </w:r>
    </w:p>
    <w:p w14:paraId="17B3C7B3">
      <w:pPr>
        <w:spacing w:line="360" w:lineRule="auto"/>
        <w:rPr>
          <w:rFonts w:hint="eastAsia" w:ascii="黑体" w:hAnsi="黑体" w:eastAsia="黑体"/>
          <w:bCs/>
        </w:rPr>
      </w:pPr>
      <w:r>
        <w:rPr>
          <w:rFonts w:ascii="黑体" w:hAnsi="黑体" w:eastAsia="黑体"/>
          <w:bCs/>
        </w:rPr>
        <w:t>6.1</w:t>
      </w:r>
      <w:r>
        <w:rPr>
          <w:rFonts w:hint="eastAsia" w:ascii="黑体" w:hAnsi="黑体" w:eastAsia="黑体"/>
          <w:bCs/>
        </w:rPr>
        <w:t xml:space="preserve">  漆层</w:t>
      </w:r>
    </w:p>
    <w:p w14:paraId="6700D8F0">
      <w:pPr>
        <w:spacing w:line="360" w:lineRule="auto"/>
        <w:rPr>
          <w:rFonts w:hint="eastAsia" w:ascii="黑体" w:hAnsi="黑体" w:eastAsia="黑体"/>
          <w:bCs/>
        </w:rPr>
      </w:pPr>
      <w:r>
        <w:rPr>
          <w:rFonts w:hint="eastAsia" w:ascii="黑体" w:hAnsi="黑体" w:eastAsia="黑体"/>
          <w:bCs/>
        </w:rPr>
        <w:t>6.1.1  抗脱色及抗脱落性能</w:t>
      </w:r>
    </w:p>
    <w:p w14:paraId="268F5EB4">
      <w:pPr>
        <w:spacing w:line="360" w:lineRule="auto"/>
        <w:ind w:firstLine="420"/>
      </w:pPr>
      <w:r>
        <w:t>按附录 A 规定的方法测试后，漆层应无</w:t>
      </w:r>
      <w:r>
        <w:rPr>
          <w:rFonts w:hint="eastAsia"/>
        </w:rPr>
        <w:t>变白</w:t>
      </w:r>
      <w:r>
        <w:t>，且不得出现松动、起泡或</w:t>
      </w:r>
      <w:r>
        <w:rPr>
          <w:rFonts w:hint="eastAsia"/>
        </w:rPr>
        <w:t>脱落</w:t>
      </w:r>
      <w:r>
        <w:t>。</w:t>
      </w:r>
    </w:p>
    <w:p w14:paraId="6530D5C9">
      <w:pPr>
        <w:spacing w:line="360" w:lineRule="auto"/>
        <w:rPr>
          <w:rFonts w:hint="eastAsia" w:ascii="黑体" w:hAnsi="黑体" w:eastAsia="黑体"/>
          <w:bCs/>
        </w:rPr>
      </w:pPr>
      <w:r>
        <w:rPr>
          <w:rFonts w:hint="eastAsia" w:ascii="黑体" w:hAnsi="黑体" w:eastAsia="黑体"/>
          <w:bCs/>
        </w:rPr>
        <w:t>6.1.2  耐划伤性能</w:t>
      </w:r>
    </w:p>
    <w:p w14:paraId="1D867B47">
      <w:pPr>
        <w:spacing w:line="360" w:lineRule="auto"/>
        <w:ind w:firstLine="420" w:firstLineChars="200"/>
      </w:pPr>
      <w:r>
        <w:t>按附录 C 规定的方法</w:t>
      </w:r>
      <w:r>
        <w:rPr>
          <w:rFonts w:hint="eastAsia"/>
        </w:rPr>
        <w:t>试验</w:t>
      </w:r>
      <w:r>
        <w:t>后，漆层应无</w:t>
      </w:r>
      <w:r>
        <w:rPr>
          <w:rFonts w:hint="eastAsia"/>
        </w:rPr>
        <w:t>划痕</w:t>
      </w:r>
      <w:r>
        <w:t>。</w:t>
      </w:r>
    </w:p>
    <w:p w14:paraId="4B3424EA">
      <w:pPr>
        <w:spacing w:line="360" w:lineRule="auto"/>
        <w:ind w:firstLine="360" w:firstLineChars="200"/>
      </w:pPr>
      <w:r>
        <w:rPr>
          <w:rFonts w:hint="eastAsia"/>
          <w:sz w:val="18"/>
          <w:szCs w:val="18"/>
        </w:rPr>
        <w:t>注：</w:t>
      </w:r>
      <w:r>
        <w:rPr>
          <w:sz w:val="18"/>
          <w:szCs w:val="18"/>
        </w:rPr>
        <w:t>产生</w:t>
      </w:r>
      <w:r>
        <w:rPr>
          <w:rFonts w:hint="eastAsia"/>
          <w:sz w:val="18"/>
          <w:szCs w:val="18"/>
        </w:rPr>
        <w:t>的</w:t>
      </w:r>
      <w:r>
        <w:rPr>
          <w:sz w:val="18"/>
          <w:szCs w:val="18"/>
        </w:rPr>
        <w:t>晦暗的轻微哑光条纹可忽略不计</w:t>
      </w:r>
      <w:r>
        <w:rPr>
          <w:rFonts w:hint="eastAsia"/>
        </w:rPr>
        <w:t>。</w:t>
      </w:r>
    </w:p>
    <w:p w14:paraId="2A7901D8">
      <w:pPr>
        <w:pStyle w:val="232"/>
        <w:numPr>
          <w:ilvl w:val="2"/>
          <w:numId w:val="34"/>
        </w:numPr>
        <w:adjustRightInd/>
        <w:spacing w:line="360" w:lineRule="auto"/>
        <w:ind w:firstLineChars="0"/>
        <w:rPr>
          <w:rFonts w:hint="eastAsia" w:ascii="黑体" w:hAnsi="黑体" w:eastAsia="黑体"/>
          <w:bCs/>
        </w:rPr>
      </w:pPr>
      <w:r>
        <w:rPr>
          <w:rFonts w:hint="eastAsia" w:ascii="黑体" w:hAnsi="黑体" w:eastAsia="黑体"/>
          <w:bCs/>
        </w:rPr>
        <w:t xml:space="preserve"> 耐紫外线辐射性能</w:t>
      </w:r>
    </w:p>
    <w:p w14:paraId="7F489754">
      <w:pPr>
        <w:spacing w:line="360" w:lineRule="auto"/>
        <w:ind w:firstLine="420"/>
      </w:pPr>
      <w:r>
        <w:rPr>
          <w:rFonts w:hint="eastAsia"/>
        </w:rPr>
        <w:t>按附录D试验后，漆层应无脱色。</w:t>
      </w:r>
    </w:p>
    <w:p w14:paraId="1EE265E2">
      <w:pPr>
        <w:pStyle w:val="232"/>
        <w:numPr>
          <w:ilvl w:val="1"/>
          <w:numId w:val="34"/>
        </w:numPr>
        <w:adjustRightInd/>
        <w:spacing w:line="360" w:lineRule="auto"/>
        <w:ind w:firstLineChars="0"/>
        <w:rPr>
          <w:rFonts w:hint="eastAsia" w:ascii="黑体" w:hAnsi="黑体" w:eastAsia="黑体"/>
          <w:bCs/>
        </w:rPr>
      </w:pPr>
      <w:r>
        <w:rPr>
          <w:rFonts w:hint="eastAsia" w:ascii="黑体" w:hAnsi="黑体" w:eastAsia="黑体"/>
          <w:bCs/>
        </w:rPr>
        <w:t xml:space="preserve"> 抗载荷强度</w:t>
      </w:r>
    </w:p>
    <w:p w14:paraId="6E6B4606">
      <w:pPr>
        <w:pStyle w:val="232"/>
        <w:numPr>
          <w:ilvl w:val="2"/>
          <w:numId w:val="35"/>
        </w:numPr>
        <w:adjustRightInd/>
        <w:spacing w:line="360" w:lineRule="auto"/>
        <w:ind w:firstLineChars="0"/>
        <w:rPr>
          <w:rFonts w:hint="eastAsia" w:ascii="黑体" w:hAnsi="黑体" w:eastAsia="黑体"/>
          <w:bCs/>
        </w:rPr>
      </w:pPr>
      <w:r>
        <w:rPr>
          <w:rFonts w:hint="eastAsia" w:ascii="黑体" w:hAnsi="黑体" w:eastAsia="黑体"/>
          <w:bCs/>
        </w:rPr>
        <w:t>矩形、正方形碟和盘的抗扭强度</w:t>
      </w:r>
    </w:p>
    <w:p w14:paraId="246A337E">
      <w:pPr>
        <w:spacing w:line="360" w:lineRule="auto"/>
        <w:ind w:firstLine="420"/>
      </w:pPr>
      <w:bookmarkStart w:id="25" w:name="_Hlk224561269"/>
      <w:bookmarkStart w:id="26" w:name="_Hlk224561252"/>
      <w:r>
        <w:rPr>
          <w:rFonts w:hint="eastAsia"/>
        </w:rPr>
        <w:t>按附录E试验后，对矩形或正方形或最大轴线超过300</w:t>
      </w:r>
      <w:r>
        <w:t>mm</w:t>
      </w:r>
      <w:r>
        <w:rPr>
          <w:rFonts w:hint="eastAsia"/>
        </w:rPr>
        <w:t>的平盘，基体表面对角线的每</w:t>
      </w:r>
      <w:r>
        <w:t>100mm</w:t>
      </w:r>
      <w:r>
        <w:rPr>
          <w:rFonts w:hint="eastAsia"/>
        </w:rPr>
        <w:t>的变形量不应超过</w:t>
      </w:r>
      <w:r>
        <w:t>3.5mm</w:t>
      </w:r>
      <w:r>
        <w:rPr>
          <w:rFonts w:hint="eastAsia"/>
        </w:rPr>
        <w:t>。</w:t>
      </w:r>
      <w:bookmarkEnd w:id="25"/>
    </w:p>
    <w:bookmarkEnd w:id="26"/>
    <w:p w14:paraId="19461E0D">
      <w:pPr>
        <w:pStyle w:val="232"/>
        <w:numPr>
          <w:ilvl w:val="2"/>
          <w:numId w:val="35"/>
        </w:numPr>
        <w:adjustRightInd/>
        <w:spacing w:line="360" w:lineRule="auto"/>
        <w:ind w:firstLineChars="0"/>
        <w:rPr>
          <w:rFonts w:hint="eastAsia" w:ascii="黑体" w:hAnsi="黑体" w:eastAsia="黑体"/>
          <w:bCs/>
        </w:rPr>
      </w:pPr>
      <w:bookmarkStart w:id="27" w:name="_Hlk225846705"/>
      <w:r>
        <w:rPr>
          <w:rFonts w:hint="eastAsia" w:ascii="黑体" w:hAnsi="黑体" w:eastAsia="黑体"/>
          <w:bCs/>
        </w:rPr>
        <w:t>碟和盘的抗凹变</w:t>
      </w:r>
    </w:p>
    <w:p w14:paraId="31FB91D2">
      <w:pPr>
        <w:spacing w:line="360" w:lineRule="auto"/>
      </w:pPr>
      <w:r>
        <w:rPr>
          <w:rFonts w:hint="eastAsia"/>
        </w:rPr>
        <w:t xml:space="preserve">    按附录F试验后，碟或盘不应出现变形现象。</w:t>
      </w:r>
    </w:p>
    <w:p w14:paraId="1B15E881">
      <w:pPr>
        <w:pStyle w:val="232"/>
        <w:numPr>
          <w:ilvl w:val="2"/>
          <w:numId w:val="35"/>
        </w:numPr>
        <w:adjustRightInd/>
        <w:spacing w:line="360" w:lineRule="auto"/>
        <w:ind w:firstLineChars="0"/>
        <w:rPr>
          <w:rFonts w:hint="eastAsia" w:ascii="黑体" w:hAnsi="黑体" w:eastAsia="黑体"/>
          <w:bCs/>
        </w:rPr>
      </w:pPr>
      <w:r>
        <w:rPr>
          <w:rFonts w:hint="eastAsia" w:ascii="黑体" w:hAnsi="黑体" w:eastAsia="黑体"/>
          <w:bCs/>
        </w:rPr>
        <w:t>器皿的负载强度</w:t>
      </w:r>
    </w:p>
    <w:p w14:paraId="32854DB8">
      <w:pPr>
        <w:spacing w:line="360" w:lineRule="auto"/>
        <w:ind w:firstLine="420"/>
      </w:pPr>
      <w:r>
        <w:rPr>
          <w:rFonts w:hint="eastAsia"/>
        </w:rPr>
        <w:t>按附录G试验后，器皿不应出现明显的永久性变形。</w:t>
      </w:r>
    </w:p>
    <w:p w14:paraId="3F034FCE">
      <w:pPr>
        <w:pStyle w:val="232"/>
        <w:numPr>
          <w:ilvl w:val="1"/>
          <w:numId w:val="34"/>
        </w:numPr>
        <w:adjustRightInd/>
        <w:spacing w:line="360" w:lineRule="auto"/>
        <w:ind w:firstLineChars="0"/>
        <w:rPr>
          <w:rFonts w:hint="eastAsia" w:ascii="黑体" w:hAnsi="黑体" w:eastAsia="黑体"/>
          <w:bCs/>
        </w:rPr>
      </w:pPr>
      <w:r>
        <w:rPr>
          <w:rFonts w:hint="eastAsia" w:ascii="黑体" w:hAnsi="黑体" w:eastAsia="黑体"/>
          <w:bCs/>
        </w:rPr>
        <w:t xml:space="preserve"> 附件强度</w:t>
      </w:r>
    </w:p>
    <w:p w14:paraId="7D196201">
      <w:pPr>
        <w:spacing w:line="360" w:lineRule="auto"/>
      </w:pPr>
      <w:r>
        <w:rPr>
          <w:rFonts w:hint="eastAsia" w:ascii="黑体" w:hAnsi="黑体" w:eastAsia="黑体"/>
          <w:bCs/>
        </w:rPr>
        <w:t>6.3.1</w:t>
      </w:r>
      <w:r>
        <w:rPr>
          <w:rFonts w:hint="eastAsia"/>
        </w:rPr>
        <w:t xml:space="preserve">  按附录H试验后，任何承重附件不得出现断裂、可见变形或脱离。</w:t>
      </w:r>
    </w:p>
    <w:p w14:paraId="51D1CE34">
      <w:pPr>
        <w:spacing w:line="360" w:lineRule="auto"/>
        <w:rPr>
          <w:b/>
        </w:rPr>
      </w:pPr>
      <w:r>
        <w:rPr>
          <w:rFonts w:hint="eastAsia" w:ascii="黑体" w:hAnsi="黑体" w:eastAsia="黑体"/>
          <w:bCs/>
        </w:rPr>
        <w:t xml:space="preserve">6.3.2 </w:t>
      </w:r>
      <w:r>
        <w:rPr>
          <w:rFonts w:hint="eastAsia"/>
        </w:rPr>
        <w:t xml:space="preserve"> </w:t>
      </w:r>
      <w:r>
        <w:t>当</w:t>
      </w:r>
      <w:r>
        <w:rPr>
          <w:rFonts w:hint="eastAsia"/>
        </w:rPr>
        <w:t>器皿</w:t>
      </w:r>
      <w:r>
        <w:t>通过盖钮悬挂，且容器内装有质量（以克计）为其可用容量（以毫升计）1.5 倍时，盖子或任何固定盖子的铰链不得出现</w:t>
      </w:r>
      <w:r>
        <w:rPr>
          <w:rFonts w:hint="eastAsia"/>
        </w:rPr>
        <w:t>断裂</w:t>
      </w:r>
      <w:r>
        <w:t>、可见变形或脱离。</w:t>
      </w:r>
    </w:p>
    <w:bookmarkEnd w:id="27"/>
    <w:p w14:paraId="78E074E2">
      <w:pPr>
        <w:pStyle w:val="232"/>
        <w:numPr>
          <w:ilvl w:val="1"/>
          <w:numId w:val="34"/>
        </w:numPr>
        <w:adjustRightInd/>
        <w:spacing w:line="360" w:lineRule="auto"/>
        <w:ind w:firstLineChars="0"/>
        <w:rPr>
          <w:rFonts w:hint="eastAsia" w:ascii="黑体" w:hAnsi="黑体" w:eastAsia="黑体"/>
          <w:bCs/>
        </w:rPr>
      </w:pPr>
      <w:r>
        <w:rPr>
          <w:rFonts w:hint="eastAsia" w:ascii="黑体" w:hAnsi="黑体" w:eastAsia="黑体"/>
          <w:bCs/>
        </w:rPr>
        <w:t xml:space="preserve"> 稳定性</w:t>
      </w:r>
    </w:p>
    <w:p w14:paraId="55F0F3B1">
      <w:pPr>
        <w:spacing w:line="360" w:lineRule="auto"/>
        <w:ind w:firstLine="420"/>
      </w:pPr>
      <w:bookmarkStart w:id="28" w:name="_Hlk224561581"/>
      <w:r>
        <w:rPr>
          <w:rFonts w:hint="eastAsia"/>
        </w:rPr>
        <w:t>当将一带支脚的器具放在一硬质平面上时，器具应稳定并且间隙应在表2规定之内，对无平面器具以切线方向施加力后应能旋转。</w:t>
      </w:r>
    </w:p>
    <w:bookmarkEnd w:id="28"/>
    <w:p w14:paraId="17C1B53B">
      <w:pPr>
        <w:spacing w:line="360" w:lineRule="auto"/>
        <w:rPr>
          <w:b/>
        </w:rPr>
      </w:pPr>
      <w:r>
        <w:t xml:space="preserve">                                                           </w:t>
      </w:r>
    </w:p>
    <w:p w14:paraId="7D52496F">
      <w:pPr>
        <w:spacing w:line="360" w:lineRule="auto"/>
        <w:jc w:val="center"/>
        <w:rPr>
          <w:b/>
        </w:rPr>
      </w:pPr>
      <w:r>
        <w:rPr>
          <w:rFonts w:hint="eastAsia"/>
          <w:b/>
        </w:rPr>
        <w:t>表2  稳定性要求</w:t>
      </w:r>
    </w:p>
    <w:p w14:paraId="58D81F95">
      <w:pPr>
        <w:spacing w:line="360" w:lineRule="auto"/>
        <w:jc w:val="center"/>
        <w:rPr>
          <w:bCs/>
        </w:rPr>
      </w:pPr>
      <w:r>
        <w:rPr>
          <w:rFonts w:hint="eastAsia"/>
          <w:bCs/>
        </w:rPr>
        <w:t xml:space="preserve">                                                       </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4"/>
        <w:gridCol w:w="4264"/>
      </w:tblGrid>
      <w:tr w14:paraId="41C70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7640857F">
            <w:pPr>
              <w:spacing w:line="360" w:lineRule="auto"/>
              <w:jc w:val="center"/>
            </w:pPr>
            <w:bookmarkStart w:id="29" w:name="_Hlk225846865"/>
            <w:r>
              <w:rPr>
                <w:rFonts w:hint="eastAsia"/>
              </w:rPr>
              <w:t>器具最宽处的整体宽度</w:t>
            </w:r>
            <w:bookmarkEnd w:id="29"/>
            <w:r>
              <w:rPr>
                <w:rFonts w:hint="eastAsia"/>
              </w:rPr>
              <w:t xml:space="preserve">  mm</w:t>
            </w:r>
          </w:p>
        </w:tc>
        <w:tc>
          <w:tcPr>
            <w:tcW w:w="4264" w:type="dxa"/>
            <w:vAlign w:val="center"/>
          </w:tcPr>
          <w:p w14:paraId="244E4855">
            <w:pPr>
              <w:spacing w:line="360" w:lineRule="auto"/>
              <w:jc w:val="center"/>
            </w:pPr>
            <w:r>
              <w:rPr>
                <w:rFonts w:hint="eastAsia"/>
              </w:rPr>
              <w:t>支脚与平面之间的</w:t>
            </w:r>
          </w:p>
          <w:p w14:paraId="6A39ADA2">
            <w:pPr>
              <w:spacing w:line="360" w:lineRule="auto"/>
              <w:jc w:val="center"/>
            </w:pPr>
            <w:r>
              <w:rPr>
                <w:rFonts w:hint="eastAsia"/>
              </w:rPr>
              <w:t>最大允许间隙  mm</w:t>
            </w:r>
          </w:p>
        </w:tc>
      </w:tr>
      <w:tr w14:paraId="58852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tcPr>
          <w:p w14:paraId="0B8AD446">
            <w:pPr>
              <w:spacing w:line="360" w:lineRule="auto"/>
            </w:pPr>
            <w:r>
              <w:t xml:space="preserve">             &lt;100</w:t>
            </w:r>
          </w:p>
          <w:p w14:paraId="67FE46F6">
            <w:pPr>
              <w:spacing w:line="360" w:lineRule="auto"/>
            </w:pPr>
            <w:r>
              <w:t xml:space="preserve">            100-250</w:t>
            </w:r>
          </w:p>
          <w:p w14:paraId="20F53ACA">
            <w:pPr>
              <w:spacing w:line="360" w:lineRule="auto"/>
            </w:pPr>
            <w:r>
              <w:t xml:space="preserve">             &gt;250</w:t>
            </w:r>
          </w:p>
        </w:tc>
        <w:tc>
          <w:tcPr>
            <w:tcW w:w="4264" w:type="dxa"/>
          </w:tcPr>
          <w:p w14:paraId="7ADD0EAD">
            <w:pPr>
              <w:spacing w:line="360" w:lineRule="auto"/>
              <w:ind w:left="1470"/>
            </w:pPr>
            <w:r>
              <w:t>0.25</w:t>
            </w:r>
          </w:p>
          <w:p w14:paraId="0D890500">
            <w:pPr>
              <w:spacing w:line="360" w:lineRule="auto"/>
              <w:ind w:left="1470"/>
            </w:pPr>
            <w:r>
              <w:t>0.40</w:t>
            </w:r>
          </w:p>
          <w:p w14:paraId="5C91981B">
            <w:pPr>
              <w:spacing w:line="360" w:lineRule="auto"/>
              <w:ind w:left="1470"/>
            </w:pPr>
            <w:r>
              <w:t>1</w:t>
            </w:r>
          </w:p>
        </w:tc>
      </w:tr>
    </w:tbl>
    <w:p w14:paraId="07FA0205">
      <w:pPr>
        <w:spacing w:line="360" w:lineRule="auto"/>
      </w:pPr>
    </w:p>
    <w:p w14:paraId="1D2C371C">
      <w:pPr>
        <w:pStyle w:val="232"/>
        <w:numPr>
          <w:ilvl w:val="1"/>
          <w:numId w:val="34"/>
        </w:numPr>
        <w:spacing w:line="360" w:lineRule="auto"/>
        <w:ind w:firstLineChars="0"/>
        <w:rPr>
          <w:rFonts w:hint="eastAsia" w:ascii="黑体" w:hAnsi="黑体" w:eastAsia="黑体"/>
          <w:bCs/>
        </w:rPr>
      </w:pPr>
      <w:r>
        <w:rPr>
          <w:rFonts w:hint="eastAsia" w:ascii="黑体" w:hAnsi="黑体" w:eastAsia="黑体"/>
          <w:bCs/>
        </w:rPr>
        <w:t xml:space="preserve"> 倒水和滴漏</w:t>
      </w:r>
    </w:p>
    <w:p w14:paraId="444AF6FA">
      <w:pPr>
        <w:spacing w:line="360" w:lineRule="auto"/>
        <w:ind w:firstLine="420"/>
      </w:pPr>
      <w:bookmarkStart w:id="30" w:name="_Hlk225846908"/>
      <w:r>
        <w:t xml:space="preserve">按照附录 </w:t>
      </w:r>
      <w:r>
        <w:rPr>
          <w:rFonts w:hint="eastAsia" w:ascii="黑体" w:hAnsi="黑体" w:eastAsia="黑体"/>
          <w:bCs/>
        </w:rPr>
        <w:t>I</w:t>
      </w:r>
      <w:r>
        <w:t xml:space="preserve"> 进行测试时，壶嘴 / 倾倒口应能干净流畅地</w:t>
      </w:r>
      <w:r>
        <w:rPr>
          <w:rFonts w:hint="eastAsia"/>
        </w:rPr>
        <w:t>将水倒出</w:t>
      </w:r>
      <w:r>
        <w:t>，无滴漏现象。</w:t>
      </w:r>
    </w:p>
    <w:p w14:paraId="0AF1AB71">
      <w:pPr>
        <w:spacing w:line="360" w:lineRule="auto"/>
        <w:ind w:firstLine="420"/>
      </w:pPr>
      <w:r>
        <w:t>测试过程中，容器不得出现</w:t>
      </w:r>
      <w:r>
        <w:rPr>
          <w:rFonts w:hint="eastAsia"/>
        </w:rPr>
        <w:t>溢流</w:t>
      </w:r>
      <w:r>
        <w:t>。</w:t>
      </w:r>
    </w:p>
    <w:bookmarkEnd w:id="30"/>
    <w:p w14:paraId="744AC0A0">
      <w:pPr>
        <w:pStyle w:val="232"/>
        <w:numPr>
          <w:ilvl w:val="1"/>
          <w:numId w:val="34"/>
        </w:numPr>
        <w:spacing w:line="360" w:lineRule="auto"/>
        <w:ind w:firstLineChars="0"/>
        <w:rPr>
          <w:rFonts w:hint="eastAsia" w:ascii="黑体" w:hAnsi="黑体" w:eastAsia="黑体"/>
          <w:bCs/>
        </w:rPr>
      </w:pPr>
      <w:r>
        <w:rPr>
          <w:rFonts w:hint="eastAsia" w:ascii="黑体" w:hAnsi="黑体" w:eastAsia="黑体"/>
          <w:bCs/>
        </w:rPr>
        <w:t xml:space="preserve"> 镀银层附着力</w:t>
      </w:r>
    </w:p>
    <w:p w14:paraId="72CCAB44">
      <w:pPr>
        <w:spacing w:line="360" w:lineRule="auto"/>
        <w:ind w:firstLine="420"/>
        <w:jc w:val="left"/>
      </w:pPr>
      <w:r>
        <w:rPr>
          <w:rFonts w:hint="eastAsia"/>
        </w:rPr>
        <w:t>按照 EN ISO 8442-2:1997 附录 E 进行测试时，镀银层不得出现松动、起泡或剥落现象。</w:t>
      </w:r>
    </w:p>
    <w:p w14:paraId="30D33455">
      <w:pPr>
        <w:spacing w:line="360" w:lineRule="auto"/>
        <w:ind w:firstLine="420"/>
        <w:jc w:val="left"/>
      </w:pPr>
      <w:r>
        <w:rPr>
          <w:rFonts w:hint="eastAsia"/>
        </w:rPr>
        <w:t>若器皿尺寸过大，无法装入测试装置，则应在 150 °C ± 10 °C 条件下加热 30 min ± 5 min，随后立即浸入 20 °C ± 5 °C 的水中，仍符合上述要求。</w:t>
      </w:r>
    </w:p>
    <w:p w14:paraId="318B789F">
      <w:pPr>
        <w:spacing w:line="360" w:lineRule="auto"/>
        <w:ind w:firstLine="420"/>
      </w:pPr>
      <w:r>
        <w:rPr>
          <w:rFonts w:hint="eastAsia"/>
        </w:rPr>
        <w:t>按照 EN ISO 8442-2:1997 附录 E 的规定完成测试后，所有附件均应保持牢固（见 6.3 条款）。</w:t>
      </w:r>
    </w:p>
    <w:p w14:paraId="4E9F3A23">
      <w:pPr>
        <w:spacing w:line="360" w:lineRule="auto"/>
        <w:ind w:firstLine="420"/>
      </w:pPr>
      <w:r>
        <w:rPr>
          <w:rFonts w:hint="eastAsia"/>
        </w:rPr>
        <w:t>漆层的变色情况可忽略不计。</w:t>
      </w:r>
    </w:p>
    <w:p w14:paraId="4D862A67">
      <w:pPr>
        <w:pStyle w:val="232"/>
        <w:numPr>
          <w:ilvl w:val="1"/>
          <w:numId w:val="34"/>
        </w:numPr>
        <w:spacing w:line="360" w:lineRule="auto"/>
        <w:ind w:firstLineChars="0"/>
        <w:rPr>
          <w:rFonts w:hint="eastAsia" w:ascii="黑体" w:hAnsi="黑体" w:eastAsia="黑体"/>
          <w:bCs/>
        </w:rPr>
      </w:pPr>
      <w:r>
        <w:rPr>
          <w:rFonts w:hint="eastAsia" w:ascii="黑体" w:hAnsi="黑体" w:eastAsia="黑体"/>
          <w:bCs/>
        </w:rPr>
        <w:t>耐机洗安全性（可选项）</w:t>
      </w:r>
    </w:p>
    <w:p w14:paraId="2F159B85">
      <w:pPr>
        <w:spacing w:line="360" w:lineRule="auto"/>
        <w:ind w:firstLine="420"/>
      </w:pPr>
      <w:r>
        <w:rPr>
          <w:rFonts w:hint="eastAsia"/>
        </w:rPr>
        <w:t>若产品标注为 “可用于洗碗机”，则需按照 EN 12875-1 标准进行 125 次循环测试，且测试后仍需符合本标准中 6.1.1、6.3 和 6.6 条款的要求。</w:t>
      </w:r>
    </w:p>
    <w:p w14:paraId="6AFBF895">
      <w:pPr>
        <w:numPr>
          <w:ilvl w:val="0"/>
          <w:numId w:val="35"/>
        </w:numPr>
        <w:adjustRightInd/>
        <w:spacing w:line="360" w:lineRule="auto"/>
        <w:ind w:left="0" w:firstLine="0"/>
        <w:rPr>
          <w:b/>
        </w:rPr>
      </w:pPr>
      <w:r>
        <w:rPr>
          <w:rFonts w:hint="eastAsia" w:ascii="黑体" w:hAnsi="黑体" w:eastAsia="黑体"/>
          <w:bCs/>
        </w:rPr>
        <w:t xml:space="preserve">  标志和标签</w:t>
      </w:r>
    </w:p>
    <w:p w14:paraId="5F7C5FF7">
      <w:pPr>
        <w:spacing w:line="360" w:lineRule="auto"/>
        <w:rPr>
          <w:rFonts w:hint="eastAsia" w:ascii="黑体" w:hAnsi="黑体" w:eastAsia="黑体"/>
          <w:bCs/>
        </w:rPr>
      </w:pPr>
      <w:r>
        <w:rPr>
          <w:rFonts w:ascii="黑体" w:hAnsi="黑体" w:eastAsia="黑体"/>
          <w:bCs/>
        </w:rPr>
        <w:t>7.1</w:t>
      </w:r>
      <w:r>
        <w:rPr>
          <w:rFonts w:hint="eastAsia" w:ascii="黑体" w:hAnsi="黑体" w:eastAsia="黑体"/>
          <w:bCs/>
        </w:rPr>
        <w:t xml:space="preserve">  标志</w:t>
      </w:r>
    </w:p>
    <w:p w14:paraId="417A800A">
      <w:pPr>
        <w:spacing w:line="360" w:lineRule="auto"/>
      </w:pPr>
      <w:r>
        <w:rPr>
          <w:rFonts w:hint="eastAsia"/>
        </w:rPr>
        <w:t xml:space="preserve">    每件涂漆、轻微镀银制品上均应有如下标记：</w:t>
      </w:r>
    </w:p>
    <w:p w14:paraId="138EDC66">
      <w:pPr>
        <w:spacing w:line="360" w:lineRule="auto"/>
      </w:pPr>
      <w:r>
        <w:rPr>
          <w:rFonts w:hint="eastAsia"/>
        </w:rPr>
        <w:t xml:space="preserve">    </w:t>
      </w:r>
      <w:r>
        <w:softHyphen/>
      </w:r>
      <w:r>
        <w:t>——</w:t>
      </w:r>
      <w:r>
        <w:rPr>
          <w:rFonts w:hint="eastAsia"/>
        </w:rPr>
        <w:t>名称和/或商标或任何其它可标示出制造商或责任承担方的标志；</w:t>
      </w:r>
    </w:p>
    <w:p w14:paraId="6AA9E395">
      <w:pPr>
        <w:spacing w:line="360" w:lineRule="auto"/>
        <w:ind w:firstLine="420"/>
      </w:pPr>
      <w:r>
        <w:softHyphen/>
      </w:r>
      <w:r>
        <w:t>——</w:t>
      </w:r>
      <w:r>
        <w:rPr>
          <w:rFonts w:hint="eastAsia"/>
        </w:rPr>
        <w:t>本文件号。</w:t>
      </w:r>
    </w:p>
    <w:p w14:paraId="128CC39E">
      <w:pPr>
        <w:spacing w:line="360" w:lineRule="auto"/>
        <w:rPr>
          <w:rFonts w:hint="eastAsia" w:ascii="黑体" w:hAnsi="黑体" w:eastAsia="黑体"/>
          <w:bCs/>
        </w:rPr>
      </w:pPr>
      <w:r>
        <w:rPr>
          <w:rFonts w:hint="eastAsia" w:ascii="黑体" w:hAnsi="黑体" w:eastAsia="黑体"/>
          <w:bCs/>
        </w:rPr>
        <w:t>7</w:t>
      </w:r>
      <w:r>
        <w:rPr>
          <w:rFonts w:ascii="黑体" w:hAnsi="黑体" w:eastAsia="黑体"/>
          <w:bCs/>
        </w:rPr>
        <w:t>.2</w:t>
      </w:r>
      <w:r>
        <w:rPr>
          <w:rFonts w:hint="eastAsia" w:ascii="黑体" w:hAnsi="黑体" w:eastAsia="黑体"/>
          <w:bCs/>
        </w:rPr>
        <w:t xml:space="preserve">  </w:t>
      </w:r>
      <w:bookmarkStart w:id="31" w:name="_Hlk225847265"/>
      <w:r>
        <w:rPr>
          <w:rFonts w:hint="eastAsia" w:ascii="黑体" w:hAnsi="黑体" w:eastAsia="黑体"/>
          <w:bCs/>
        </w:rPr>
        <w:t>标签</w:t>
      </w:r>
    </w:p>
    <w:p w14:paraId="3D393ADF">
      <w:pPr>
        <w:spacing w:line="360" w:lineRule="auto"/>
      </w:pPr>
      <w:r>
        <w:rPr>
          <w:rFonts w:hint="eastAsia"/>
        </w:rPr>
        <w:t xml:space="preserve">    下列信息应在经销处给出：</w:t>
      </w:r>
    </w:p>
    <w:p w14:paraId="579458DF">
      <w:pPr>
        <w:spacing w:line="360" w:lineRule="auto"/>
        <w:ind w:firstLine="420"/>
      </w:pPr>
      <w:r>
        <w:softHyphen/>
      </w:r>
      <w:r>
        <w:t>——</w:t>
      </w:r>
      <w:r>
        <w:rPr>
          <w:rFonts w:hint="eastAsia"/>
        </w:rPr>
        <w:t>本文件的标准号及名称，以及其制品符合本文件要求的说明；</w:t>
      </w:r>
    </w:p>
    <w:p w14:paraId="7122575F">
      <w:pPr>
        <w:spacing w:line="360" w:lineRule="auto"/>
        <w:ind w:firstLine="420"/>
      </w:pPr>
      <w:r>
        <w:softHyphen/>
      </w:r>
      <w:r>
        <w:t>——</w:t>
      </w:r>
      <w:r>
        <w:rPr>
          <w:rFonts w:hint="eastAsia"/>
        </w:rPr>
        <w:t>制品是餐用器皿还是装饰用器皿的说明。</w:t>
      </w:r>
    </w:p>
    <w:p w14:paraId="4D7EDB16">
      <w:pPr>
        <w:spacing w:line="360" w:lineRule="auto"/>
        <w:ind w:firstLine="420"/>
        <w:rPr>
          <w:sz w:val="18"/>
          <w:szCs w:val="18"/>
        </w:rPr>
      </w:pPr>
      <w:r>
        <w:rPr>
          <w:rFonts w:hint="eastAsia"/>
          <w:sz w:val="18"/>
          <w:szCs w:val="18"/>
        </w:rPr>
        <w:t>注：该信息也可用标签、宣传页、标识卡或印在包装上。</w:t>
      </w:r>
    </w:p>
    <w:bookmarkEnd w:id="31"/>
    <w:p w14:paraId="16A7B356">
      <w:pPr>
        <w:spacing w:line="360" w:lineRule="auto"/>
      </w:pPr>
    </w:p>
    <w:p w14:paraId="3A97A3A3">
      <w:pPr>
        <w:spacing w:line="360" w:lineRule="auto"/>
      </w:pPr>
    </w:p>
    <w:p w14:paraId="666D834C">
      <w:pPr>
        <w:spacing w:line="360" w:lineRule="auto"/>
      </w:pPr>
    </w:p>
    <w:p w14:paraId="1252E7B5">
      <w:pPr>
        <w:spacing w:line="360" w:lineRule="auto"/>
        <w:jc w:val="center"/>
        <w:rPr>
          <w:rFonts w:hint="eastAsia" w:ascii="黑体" w:hAnsi="黑体" w:eastAsia="黑体"/>
          <w:bCs/>
        </w:rPr>
        <w:sectPr>
          <w:pgSz w:w="11906" w:h="16838"/>
          <w:pgMar w:top="567" w:right="1134" w:bottom="1134" w:left="1134" w:header="1418" w:footer="1134" w:gutter="284"/>
          <w:cols w:space="425" w:num="1"/>
          <w:formProt w:val="0"/>
          <w:docGrid w:linePitch="312" w:charSpace="0"/>
        </w:sectPr>
      </w:pPr>
    </w:p>
    <w:p w14:paraId="118FD037">
      <w:pPr>
        <w:spacing w:line="360" w:lineRule="auto"/>
        <w:jc w:val="center"/>
        <w:rPr>
          <w:rFonts w:hint="eastAsia" w:ascii="黑体" w:hAnsi="黑体" w:eastAsia="黑体"/>
          <w:bCs/>
        </w:rPr>
      </w:pPr>
      <w:r>
        <w:rPr>
          <w:rFonts w:hint="eastAsia" w:ascii="黑体" w:hAnsi="黑体" w:eastAsia="黑体"/>
          <w:bCs/>
        </w:rPr>
        <w:t>附录A</w:t>
      </w:r>
    </w:p>
    <w:p w14:paraId="55339011">
      <w:pPr>
        <w:spacing w:line="360" w:lineRule="auto"/>
        <w:jc w:val="center"/>
        <w:rPr>
          <w:rFonts w:hint="eastAsia" w:ascii="黑体" w:hAnsi="黑体" w:eastAsia="黑体"/>
          <w:bCs/>
        </w:rPr>
      </w:pPr>
      <w:r>
        <w:rPr>
          <w:rFonts w:hint="eastAsia" w:ascii="黑体" w:hAnsi="黑体" w:eastAsia="黑体"/>
          <w:bCs/>
        </w:rPr>
        <w:t>（规范性）</w:t>
      </w:r>
    </w:p>
    <w:p w14:paraId="362ABDF5">
      <w:pPr>
        <w:spacing w:line="360" w:lineRule="auto"/>
        <w:rPr>
          <w:rFonts w:hint="eastAsia" w:ascii="黑体" w:hAnsi="黑体" w:eastAsia="黑体"/>
          <w:bCs/>
        </w:rPr>
      </w:pPr>
    </w:p>
    <w:p w14:paraId="20C63B6B">
      <w:pPr>
        <w:spacing w:line="360" w:lineRule="auto"/>
        <w:jc w:val="center"/>
        <w:outlineLvl w:val="0"/>
        <w:rPr>
          <w:rFonts w:hint="eastAsia" w:ascii="黑体" w:hAnsi="黑体" w:eastAsia="黑体"/>
          <w:bCs/>
        </w:rPr>
      </w:pPr>
      <w:r>
        <w:rPr>
          <w:rFonts w:hint="eastAsia"/>
        </w:rPr>
        <w:t>漆层抗变色</w:t>
      </w:r>
      <w:r>
        <w:t>与</w:t>
      </w:r>
      <w:r>
        <w:rPr>
          <w:rFonts w:hint="eastAsia"/>
        </w:rPr>
        <w:t>抗脱落</w:t>
      </w:r>
      <w:r>
        <w:t>试验方法</w:t>
      </w:r>
    </w:p>
    <w:p w14:paraId="6FE2426C">
      <w:pPr>
        <w:pStyle w:val="17"/>
        <w:spacing w:line="360" w:lineRule="auto"/>
        <w:outlineLvl w:val="0"/>
      </w:pPr>
    </w:p>
    <w:p w14:paraId="561B1F2C">
      <w:pPr>
        <w:spacing w:line="360" w:lineRule="auto"/>
        <w:ind w:firstLine="420" w:firstLineChars="200"/>
      </w:pPr>
      <w:r>
        <w:rPr>
          <w:rFonts w:hint="eastAsia"/>
        </w:rPr>
        <w:t>漆层抗变色</w:t>
      </w:r>
      <w:r>
        <w:t>与</w:t>
      </w:r>
      <w:r>
        <w:rPr>
          <w:rFonts w:hint="eastAsia"/>
        </w:rPr>
        <w:t>抗脱落性能需按照 EN 12875-1 标准方法完成 50 个循环后进行评估。</w:t>
      </w:r>
    </w:p>
    <w:p w14:paraId="6987B13A">
      <w:pPr>
        <w:spacing w:line="360" w:lineRule="auto"/>
        <w:ind w:firstLine="420"/>
      </w:pPr>
      <w:r>
        <w:rPr>
          <w:rFonts w:hint="eastAsia"/>
        </w:rPr>
        <w:t>为使涂层的微小损伤可见，需将试样放入 1:10 稀释的氧化物溶液中浸泡 30 秒。</w:t>
      </w:r>
    </w:p>
    <w:p w14:paraId="15A6DA89">
      <w:pPr>
        <w:spacing w:line="360" w:lineRule="auto"/>
        <w:ind w:firstLine="420"/>
      </w:pPr>
    </w:p>
    <w:p w14:paraId="3D1A72CA">
      <w:pPr>
        <w:spacing w:line="360" w:lineRule="auto"/>
        <w:ind w:firstLine="420" w:firstLineChars="200"/>
      </w:pPr>
      <w:r>
        <w:t>注：可用于银器发黑处理的商用氧化物溶液品牌示例如下，例如德国 LPW Langbein-Pfanhauser Works Ltd 公司生产的产品，地址为德国诺伊斯市（Neuss）邮政信箱 317，邮编 D-41460。²⁾</w:t>
      </w:r>
    </w:p>
    <w:p w14:paraId="3AB291FD">
      <w:pPr>
        <w:spacing w:line="360" w:lineRule="auto"/>
      </w:pPr>
    </w:p>
    <w:p w14:paraId="6F97723F">
      <w:pPr>
        <w:spacing w:line="360" w:lineRule="auto"/>
      </w:pPr>
    </w:p>
    <w:p w14:paraId="2006C4D6">
      <w:pPr>
        <w:spacing w:line="360" w:lineRule="auto"/>
      </w:pPr>
    </w:p>
    <w:p w14:paraId="3EBA1996">
      <w:pPr>
        <w:spacing w:line="360" w:lineRule="auto"/>
      </w:pPr>
    </w:p>
    <w:p w14:paraId="04747327">
      <w:pPr>
        <w:spacing w:line="360" w:lineRule="auto"/>
      </w:pPr>
    </w:p>
    <w:p w14:paraId="0272429D">
      <w:pPr>
        <w:spacing w:line="360" w:lineRule="auto"/>
        <w:ind w:firstLine="420" w:firstLineChars="200"/>
      </w:pPr>
      <w:r>
        <w:rPr>
          <w:rFonts w:hint="eastAsia"/>
        </w:rPr>
        <w:t>²</w:t>
      </w:r>
      <w:r>
        <w:t xml:space="preserve">⁾ </w:t>
      </w:r>
      <w:r>
        <w:rPr>
          <w:rFonts w:hint="eastAsia"/>
        </w:rPr>
        <w:t>提供此信息是为了方便本文件使用者识别指定供应商。若等效产品可被证明性能相当，则可替代使用。</w:t>
      </w:r>
    </w:p>
    <w:p w14:paraId="74723149">
      <w:pPr>
        <w:spacing w:line="360" w:lineRule="auto"/>
      </w:pPr>
    </w:p>
    <w:p w14:paraId="5BD9BCD3">
      <w:pPr>
        <w:spacing w:line="360" w:lineRule="auto"/>
      </w:pPr>
    </w:p>
    <w:p w14:paraId="4B2DCC6F">
      <w:pPr>
        <w:spacing w:line="360" w:lineRule="auto"/>
      </w:pPr>
    </w:p>
    <w:p w14:paraId="370899BD">
      <w:pPr>
        <w:spacing w:line="360" w:lineRule="auto"/>
      </w:pPr>
    </w:p>
    <w:p w14:paraId="5FFEB236">
      <w:pPr>
        <w:spacing w:line="360" w:lineRule="auto"/>
      </w:pPr>
    </w:p>
    <w:p w14:paraId="4907B78E">
      <w:pPr>
        <w:spacing w:line="360" w:lineRule="auto"/>
      </w:pPr>
    </w:p>
    <w:p w14:paraId="481998AE">
      <w:pPr>
        <w:spacing w:line="360" w:lineRule="auto"/>
      </w:pPr>
    </w:p>
    <w:p w14:paraId="190319BD">
      <w:pPr>
        <w:spacing w:line="360" w:lineRule="auto"/>
      </w:pPr>
    </w:p>
    <w:p w14:paraId="26FF28ED">
      <w:pPr>
        <w:spacing w:line="360" w:lineRule="auto"/>
      </w:pPr>
    </w:p>
    <w:p w14:paraId="25D1C798">
      <w:pPr>
        <w:spacing w:line="360" w:lineRule="auto"/>
      </w:pPr>
    </w:p>
    <w:p w14:paraId="7BE2CE3C">
      <w:pPr>
        <w:spacing w:line="360" w:lineRule="auto"/>
      </w:pPr>
    </w:p>
    <w:p w14:paraId="470EC098">
      <w:pPr>
        <w:spacing w:line="360" w:lineRule="auto"/>
      </w:pPr>
    </w:p>
    <w:p w14:paraId="1BFF572B">
      <w:pPr>
        <w:spacing w:line="360" w:lineRule="auto"/>
      </w:pPr>
    </w:p>
    <w:p w14:paraId="2DBFDF32">
      <w:pPr>
        <w:spacing w:line="360" w:lineRule="auto"/>
      </w:pPr>
    </w:p>
    <w:p w14:paraId="34E23B16">
      <w:pPr>
        <w:spacing w:line="360" w:lineRule="auto"/>
      </w:pPr>
    </w:p>
    <w:p w14:paraId="66017E20">
      <w:pPr>
        <w:spacing w:line="360" w:lineRule="auto"/>
      </w:pPr>
    </w:p>
    <w:p w14:paraId="6250883C">
      <w:pPr>
        <w:spacing w:line="360" w:lineRule="auto"/>
        <w:rPr>
          <w:b/>
        </w:rPr>
      </w:pPr>
      <w:r>
        <w:t xml:space="preserve">                                                        </w:t>
      </w:r>
    </w:p>
    <w:p w14:paraId="4687543E">
      <w:pPr>
        <w:spacing w:line="360" w:lineRule="auto"/>
        <w:jc w:val="center"/>
        <w:rPr>
          <w:rFonts w:hint="eastAsia" w:ascii="黑体" w:hAnsi="黑体" w:eastAsia="黑体"/>
          <w:bCs/>
        </w:rPr>
        <w:sectPr>
          <w:pgSz w:w="11906" w:h="16838"/>
          <w:pgMar w:top="567" w:right="1134" w:bottom="1134" w:left="1134" w:header="1418" w:footer="1134" w:gutter="284"/>
          <w:cols w:space="425" w:num="1"/>
          <w:formProt w:val="0"/>
          <w:docGrid w:linePitch="312" w:charSpace="0"/>
        </w:sectPr>
      </w:pPr>
    </w:p>
    <w:p w14:paraId="50B79E52">
      <w:pPr>
        <w:spacing w:line="360" w:lineRule="auto"/>
        <w:jc w:val="center"/>
        <w:rPr>
          <w:rFonts w:hint="eastAsia" w:ascii="黑体" w:hAnsi="黑体" w:eastAsia="黑体"/>
          <w:bCs/>
        </w:rPr>
      </w:pPr>
      <w:r>
        <w:rPr>
          <w:rFonts w:hint="eastAsia" w:ascii="黑体" w:hAnsi="黑体" w:eastAsia="黑体"/>
          <w:bCs/>
        </w:rPr>
        <w:t>附录B</w:t>
      </w:r>
    </w:p>
    <w:p w14:paraId="2F419ACA">
      <w:pPr>
        <w:spacing w:line="360" w:lineRule="auto"/>
        <w:jc w:val="center"/>
        <w:rPr>
          <w:rFonts w:hint="eastAsia" w:ascii="黑体" w:hAnsi="黑体" w:eastAsia="黑体"/>
          <w:bCs/>
        </w:rPr>
      </w:pPr>
      <w:r>
        <w:rPr>
          <w:rFonts w:hint="eastAsia" w:ascii="黑体" w:hAnsi="黑体" w:eastAsia="黑体"/>
          <w:bCs/>
        </w:rPr>
        <w:t>（规范性）</w:t>
      </w:r>
    </w:p>
    <w:p w14:paraId="02DBF98C">
      <w:pPr>
        <w:spacing w:line="360" w:lineRule="auto"/>
        <w:jc w:val="center"/>
        <w:rPr>
          <w:rFonts w:hint="eastAsia" w:ascii="黑体" w:hAnsi="黑体" w:eastAsia="黑体"/>
          <w:bCs/>
        </w:rPr>
      </w:pPr>
    </w:p>
    <w:p w14:paraId="4C01323F">
      <w:pPr>
        <w:spacing w:line="360" w:lineRule="auto"/>
        <w:jc w:val="center"/>
        <w:rPr>
          <w:rFonts w:hint="eastAsia" w:ascii="黑体" w:hAnsi="黑体" w:eastAsia="黑体"/>
          <w:bCs/>
        </w:rPr>
      </w:pPr>
      <w:r>
        <w:rPr>
          <w:rFonts w:hint="eastAsia" w:ascii="黑体" w:hAnsi="黑体" w:eastAsia="黑体"/>
          <w:bCs/>
        </w:rPr>
        <w:t>涂漆、轻微镀银的餐用和装饰用器皿上镀银层厚度和银含量的测定试验方法</w:t>
      </w:r>
    </w:p>
    <w:p w14:paraId="64F1722E">
      <w:pPr>
        <w:spacing w:line="360" w:lineRule="auto"/>
        <w:jc w:val="center"/>
        <w:rPr>
          <w:rFonts w:hint="eastAsia" w:ascii="黑体" w:hAnsi="黑体" w:eastAsia="黑体"/>
          <w:bCs/>
        </w:rPr>
      </w:pPr>
    </w:p>
    <w:p w14:paraId="1DB630A5">
      <w:pPr>
        <w:spacing w:line="360" w:lineRule="auto"/>
        <w:jc w:val="left"/>
        <w:rPr>
          <w:rFonts w:hint="eastAsia" w:ascii="黑体" w:hAnsi="黑体" w:eastAsia="黑体"/>
          <w:bCs/>
        </w:rPr>
      </w:pPr>
      <w:r>
        <w:rPr>
          <w:rFonts w:hint="eastAsia" w:ascii="黑体" w:hAnsi="黑体" w:eastAsia="黑体"/>
          <w:bCs/>
        </w:rPr>
        <w:t>B.1  原理</w:t>
      </w:r>
    </w:p>
    <w:p w14:paraId="7174ECED">
      <w:pPr>
        <w:ind w:firstLine="420" w:firstLineChars="200"/>
      </w:pPr>
      <w:r>
        <w:rPr>
          <w:rFonts w:hint="eastAsia"/>
        </w:rPr>
        <w:t>采用化学或电化学方法，在不腐蚀基底材料的前提下，将银层与漆层一同从器皿上溶解剥离。</w:t>
      </w:r>
    </w:p>
    <w:p w14:paraId="2DB228C6">
      <w:pPr>
        <w:ind w:firstLine="420" w:firstLineChars="200"/>
      </w:pPr>
      <w:r>
        <w:rPr>
          <w:rFonts w:hint="eastAsia"/>
        </w:rPr>
        <w:t>依据器皿表面积（参考 ISO 8442-2:1997 附录 B）与溶解得到的银质量，计算镀银层平均厚度。</w:t>
      </w:r>
    </w:p>
    <w:p w14:paraId="26D30454">
      <w:pPr>
        <w:ind w:firstLine="420" w:firstLineChars="200"/>
      </w:pPr>
      <w:r>
        <w:rPr>
          <w:rFonts w:hint="eastAsia"/>
        </w:rPr>
        <w:t>对于较大型器皿（如托盘），需使用符合规范的设备，按库仑法测定镀银层厚度（参考 EN ISO 2177）。</w:t>
      </w:r>
    </w:p>
    <w:p w14:paraId="0859E089">
      <w:pPr>
        <w:rPr>
          <w:rFonts w:hint="eastAsia" w:ascii="黑体" w:hAnsi="黑体" w:eastAsia="黑体"/>
          <w:bCs/>
        </w:rPr>
      </w:pPr>
      <w:r>
        <w:rPr>
          <w:rFonts w:ascii="黑体" w:hAnsi="黑体" w:eastAsia="黑体"/>
          <w:bCs/>
        </w:rPr>
        <w:t>B.2</w:t>
      </w:r>
      <w:r>
        <w:rPr>
          <w:rFonts w:hint="eastAsia" w:ascii="黑体" w:hAnsi="黑体" w:eastAsia="黑体"/>
          <w:bCs/>
        </w:rPr>
        <w:t xml:space="preserve">  剥离液</w:t>
      </w:r>
    </w:p>
    <w:p w14:paraId="7B07AF53">
      <w:pPr>
        <w:spacing w:line="360" w:lineRule="auto"/>
      </w:pPr>
      <w:r>
        <w:rPr>
          <w:rFonts w:ascii="黑体" w:hAnsi="黑体" w:eastAsia="黑体"/>
          <w:bCs/>
        </w:rPr>
        <w:t>B.2.1</w:t>
      </w:r>
      <w:r>
        <w:rPr>
          <w:rFonts w:hint="eastAsia"/>
        </w:rPr>
        <w:t xml:space="preserve">  对于镀银不锈钢器皿，应使用质量分数为 40% 的硝酸作为剥离液。</w:t>
      </w:r>
    </w:p>
    <w:p w14:paraId="70DDEEE6">
      <w:pPr>
        <w:spacing w:line="360" w:lineRule="auto"/>
      </w:pPr>
      <w:r>
        <w:rPr>
          <w:rFonts w:ascii="黑体" w:hAnsi="黑体" w:eastAsia="黑体"/>
          <w:bCs/>
        </w:rPr>
        <w:t>B.2.2</w:t>
      </w:r>
      <w:r>
        <w:rPr>
          <w:rFonts w:hint="eastAsia"/>
        </w:rPr>
        <w:t xml:space="preserve">  对于镀银、镍银或黄铜材质器皿，应使用添加了 200 g/L 硝酸钾的浓硫酸作为剥离液；溶液温度需控制在约 100℃。</w:t>
      </w:r>
    </w:p>
    <w:p w14:paraId="0D22CF31">
      <w:pPr>
        <w:spacing w:line="360" w:lineRule="auto"/>
        <w:rPr>
          <w:rFonts w:hint="eastAsia" w:ascii="黑体" w:hAnsi="黑体" w:eastAsia="黑体"/>
          <w:bCs/>
        </w:rPr>
      </w:pPr>
      <w:r>
        <w:rPr>
          <w:rFonts w:ascii="黑体" w:hAnsi="黑体" w:eastAsia="黑体"/>
          <w:bCs/>
        </w:rPr>
        <w:t>B.3</w:t>
      </w:r>
      <w:r>
        <w:rPr>
          <w:rFonts w:hint="eastAsia" w:ascii="黑体" w:hAnsi="黑体" w:eastAsia="黑体"/>
          <w:bCs/>
        </w:rPr>
        <w:t xml:space="preserve">  银含量的确定</w:t>
      </w:r>
    </w:p>
    <w:p w14:paraId="0B7331FE">
      <w:pPr>
        <w:spacing w:line="360" w:lineRule="auto"/>
      </w:pPr>
      <w:r>
        <w:rPr>
          <w:rFonts w:ascii="黑体" w:hAnsi="黑体" w:eastAsia="黑体"/>
          <w:bCs/>
        </w:rPr>
        <w:t>B.3.1</w:t>
      </w:r>
      <w:r>
        <w:rPr>
          <w:rFonts w:hint="eastAsia"/>
          <w:b/>
        </w:rPr>
        <w:t xml:space="preserve"> </w:t>
      </w:r>
      <w:r>
        <w:rPr>
          <w:rFonts w:hint="eastAsia"/>
        </w:rPr>
        <w:t xml:space="preserve"> 对于薄银层（&lt; 2.5 μm），应采用原子吸收光谱法（AAS）火焰法测定溶液中的银含量。</w:t>
      </w:r>
    </w:p>
    <w:p w14:paraId="5D5190AC">
      <w:pPr>
        <w:spacing w:line="360" w:lineRule="auto"/>
        <w:outlineLvl w:val="0"/>
      </w:pPr>
      <w:r>
        <w:rPr>
          <w:rFonts w:ascii="黑体" w:hAnsi="黑体" w:eastAsia="黑体"/>
          <w:bCs/>
        </w:rPr>
        <w:t>B.3.2</w:t>
      </w:r>
      <w:r>
        <w:rPr>
          <w:rFonts w:hint="eastAsia"/>
        </w:rPr>
        <w:t xml:space="preserve">  对于厚银层（&gt; 2.5 μm），应采用滴定法完成银含量测定。</w:t>
      </w:r>
    </w:p>
    <w:p w14:paraId="1D28078E">
      <w:pPr>
        <w:pStyle w:val="17"/>
        <w:spacing w:line="360" w:lineRule="auto"/>
        <w:outlineLvl w:val="0"/>
      </w:pPr>
    </w:p>
    <w:p w14:paraId="23B689BC">
      <w:pPr>
        <w:spacing w:line="360" w:lineRule="auto"/>
        <w:outlineLvl w:val="0"/>
      </w:pPr>
    </w:p>
    <w:p w14:paraId="2CCEBF26">
      <w:pPr>
        <w:spacing w:line="360" w:lineRule="auto"/>
        <w:outlineLvl w:val="0"/>
      </w:pPr>
    </w:p>
    <w:p w14:paraId="1287E415">
      <w:pPr>
        <w:spacing w:line="360" w:lineRule="auto"/>
        <w:outlineLvl w:val="0"/>
      </w:pPr>
    </w:p>
    <w:p w14:paraId="0245B3DA">
      <w:pPr>
        <w:spacing w:line="360" w:lineRule="auto"/>
        <w:outlineLvl w:val="0"/>
      </w:pPr>
    </w:p>
    <w:p w14:paraId="47116AD7">
      <w:pPr>
        <w:spacing w:line="360" w:lineRule="auto"/>
        <w:outlineLvl w:val="0"/>
      </w:pPr>
    </w:p>
    <w:p w14:paraId="023CA03D">
      <w:pPr>
        <w:spacing w:line="360" w:lineRule="auto"/>
        <w:outlineLvl w:val="0"/>
      </w:pPr>
    </w:p>
    <w:p w14:paraId="6ADBFE61">
      <w:pPr>
        <w:spacing w:line="360" w:lineRule="auto"/>
        <w:outlineLvl w:val="0"/>
      </w:pPr>
    </w:p>
    <w:p w14:paraId="14BAAE41">
      <w:pPr>
        <w:spacing w:line="360" w:lineRule="auto"/>
        <w:outlineLvl w:val="0"/>
      </w:pPr>
    </w:p>
    <w:p w14:paraId="58BBA417">
      <w:pPr>
        <w:spacing w:line="360" w:lineRule="auto"/>
        <w:outlineLvl w:val="0"/>
      </w:pPr>
    </w:p>
    <w:p w14:paraId="3192F434">
      <w:pPr>
        <w:spacing w:line="360" w:lineRule="auto"/>
        <w:jc w:val="left"/>
      </w:pPr>
    </w:p>
    <w:p w14:paraId="6DAF2D4E">
      <w:pPr>
        <w:spacing w:line="360" w:lineRule="auto"/>
        <w:jc w:val="left"/>
      </w:pPr>
    </w:p>
    <w:p w14:paraId="7469EEF0">
      <w:pPr>
        <w:spacing w:line="360" w:lineRule="auto"/>
        <w:jc w:val="left"/>
      </w:pPr>
    </w:p>
    <w:p w14:paraId="1F0052B8">
      <w:pPr>
        <w:spacing w:line="360" w:lineRule="auto"/>
        <w:jc w:val="left"/>
      </w:pPr>
    </w:p>
    <w:p w14:paraId="6A72151D">
      <w:pPr>
        <w:spacing w:line="360" w:lineRule="auto"/>
        <w:jc w:val="center"/>
        <w:outlineLvl w:val="0"/>
        <w:rPr>
          <w:rFonts w:hint="eastAsia" w:ascii="黑体" w:hAnsi="黑体" w:eastAsia="黑体"/>
          <w:bCs/>
        </w:rPr>
      </w:pPr>
    </w:p>
    <w:p w14:paraId="35A0E32F">
      <w:pPr>
        <w:spacing w:line="360" w:lineRule="auto"/>
        <w:jc w:val="center"/>
        <w:outlineLvl w:val="0"/>
        <w:rPr>
          <w:rFonts w:hint="eastAsia" w:ascii="黑体" w:hAnsi="黑体" w:eastAsia="黑体"/>
          <w:bCs/>
        </w:rPr>
        <w:sectPr>
          <w:pgSz w:w="11906" w:h="16838"/>
          <w:pgMar w:top="567" w:right="1134" w:bottom="1134" w:left="1134" w:header="1418" w:footer="1134" w:gutter="284"/>
          <w:cols w:space="425" w:num="1"/>
          <w:formProt w:val="0"/>
          <w:docGrid w:linePitch="312" w:charSpace="0"/>
        </w:sectPr>
      </w:pPr>
    </w:p>
    <w:p w14:paraId="78386042">
      <w:pPr>
        <w:spacing w:line="360" w:lineRule="auto"/>
        <w:jc w:val="center"/>
        <w:outlineLvl w:val="0"/>
        <w:rPr>
          <w:rFonts w:hint="eastAsia" w:ascii="黑体" w:hAnsi="黑体" w:eastAsia="黑体"/>
          <w:bCs/>
        </w:rPr>
      </w:pPr>
      <w:r>
        <w:rPr>
          <w:rFonts w:hint="eastAsia" w:ascii="黑体" w:hAnsi="黑体" w:eastAsia="黑体"/>
          <w:bCs/>
        </w:rPr>
        <w:t>附录C</w:t>
      </w:r>
    </w:p>
    <w:p w14:paraId="25D1AA2E">
      <w:pPr>
        <w:spacing w:line="360" w:lineRule="auto"/>
        <w:jc w:val="center"/>
        <w:rPr>
          <w:rFonts w:hint="eastAsia" w:ascii="黑体" w:hAnsi="黑体" w:eastAsia="黑体"/>
          <w:bCs/>
        </w:rPr>
      </w:pPr>
      <w:r>
        <w:rPr>
          <w:rFonts w:hint="eastAsia" w:ascii="黑体" w:hAnsi="黑体" w:eastAsia="黑体"/>
          <w:bCs/>
        </w:rPr>
        <w:t>（规范性）</w:t>
      </w:r>
    </w:p>
    <w:p w14:paraId="777A7741">
      <w:pPr>
        <w:spacing w:line="360" w:lineRule="auto"/>
        <w:jc w:val="center"/>
        <w:rPr>
          <w:rFonts w:hint="eastAsia" w:ascii="黑体" w:hAnsi="黑体" w:eastAsia="黑体"/>
          <w:bCs/>
        </w:rPr>
      </w:pPr>
    </w:p>
    <w:p w14:paraId="303E02EF">
      <w:pPr>
        <w:spacing w:line="360" w:lineRule="auto"/>
        <w:jc w:val="center"/>
        <w:rPr>
          <w:rFonts w:hint="eastAsia" w:ascii="黑体" w:hAnsi="黑体" w:eastAsia="黑体"/>
          <w:bCs/>
        </w:rPr>
      </w:pPr>
      <w:r>
        <w:rPr>
          <w:rFonts w:hint="eastAsia" w:ascii="黑体" w:hAnsi="黑体" w:eastAsia="黑体"/>
          <w:bCs/>
        </w:rPr>
        <w:t>漆层耐划伤试验方法</w:t>
      </w:r>
    </w:p>
    <w:p w14:paraId="56034A4A">
      <w:pPr>
        <w:spacing w:line="360" w:lineRule="auto"/>
      </w:pPr>
    </w:p>
    <w:p w14:paraId="5745CCF4">
      <w:pPr>
        <w:spacing w:line="360" w:lineRule="auto"/>
        <w:outlineLvl w:val="0"/>
        <w:rPr>
          <w:rFonts w:hint="eastAsia" w:ascii="黑体" w:hAnsi="黑体" w:eastAsia="黑体"/>
          <w:bCs/>
        </w:rPr>
      </w:pPr>
      <w:r>
        <w:rPr>
          <w:rFonts w:ascii="黑体" w:hAnsi="黑体" w:eastAsia="黑体"/>
          <w:bCs/>
        </w:rPr>
        <w:t>C.1</w:t>
      </w:r>
      <w:r>
        <w:rPr>
          <w:rFonts w:hint="eastAsia" w:ascii="黑体" w:hAnsi="黑体" w:eastAsia="黑体"/>
          <w:bCs/>
        </w:rPr>
        <w:t xml:space="preserve">  原理</w:t>
      </w:r>
    </w:p>
    <w:p w14:paraId="2BD47ED7">
      <w:pPr>
        <w:spacing w:line="360" w:lineRule="auto"/>
        <w:ind w:firstLine="420"/>
      </w:pPr>
      <w:r>
        <w:t>将</w:t>
      </w:r>
      <w:r>
        <w:rPr>
          <w:rFonts w:hint="eastAsia"/>
        </w:rPr>
        <w:t>样件</w:t>
      </w:r>
      <w:r>
        <w:t>固定在水平面上，用毛毡垫进行机械摩擦，随后检查试样是否出现划伤。</w:t>
      </w:r>
    </w:p>
    <w:p w14:paraId="1212BB8D">
      <w:pPr>
        <w:spacing w:line="360" w:lineRule="auto"/>
        <w:outlineLvl w:val="0"/>
        <w:rPr>
          <w:b/>
        </w:rPr>
      </w:pPr>
      <w:r>
        <w:rPr>
          <w:rFonts w:ascii="黑体" w:hAnsi="黑体" w:eastAsia="黑体"/>
          <w:bCs/>
        </w:rPr>
        <w:t>C.2</w:t>
      </w:r>
      <w:r>
        <w:rPr>
          <w:rFonts w:hint="eastAsia" w:ascii="黑体" w:hAnsi="黑体" w:eastAsia="黑体"/>
          <w:bCs/>
        </w:rPr>
        <w:t xml:space="preserve">  材料</w:t>
      </w:r>
    </w:p>
    <w:p w14:paraId="73B1C199">
      <w:pPr>
        <w:spacing w:line="360" w:lineRule="auto"/>
        <w:ind w:firstLine="420"/>
        <w:rPr>
          <w:vertAlign w:val="superscript"/>
        </w:rPr>
      </w:pPr>
      <w:r>
        <w:rPr>
          <w:rFonts w:hint="eastAsia"/>
        </w:rPr>
        <w:t>毛毡垫</w:t>
      </w:r>
      <w:r>
        <w:rPr>
          <w:rFonts w:hint="eastAsia"/>
          <w:vertAlign w:val="superscript"/>
        </w:rPr>
        <w:t>2）</w:t>
      </w:r>
      <w:r>
        <w:rPr>
          <w:rFonts w:hint="eastAsia"/>
        </w:rPr>
        <w:t>：</w:t>
      </w:r>
      <w:r>
        <w:t>由 100% 羊毛纤维制成，厚度为 3 mm ± 0.3 mm，密度为 0.36 g/cm³。</w:t>
      </w:r>
    </w:p>
    <w:p w14:paraId="055CFF53">
      <w:pPr>
        <w:spacing w:line="360" w:lineRule="auto"/>
        <w:ind w:firstLine="420"/>
      </w:pPr>
      <w:r>
        <w:t>注 1：经测试，符合 DIN 61206 标准、相对压缩率为 (9–13)% 的毛毡适用于本测试。</w:t>
      </w:r>
    </w:p>
    <w:p w14:paraId="5BBBC6A0">
      <w:pPr>
        <w:spacing w:line="360" w:lineRule="auto"/>
        <w:ind w:firstLine="420" w:firstLineChars="200"/>
      </w:pPr>
      <w:r>
        <w:t xml:space="preserve">注 2：经确认，由德国 VFG Giengen/Brenz 公司供应的 T22 10,36 </w:t>
      </w:r>
      <w:r>
        <w:rPr>
          <w:rFonts w:hint="eastAsia"/>
        </w:rPr>
        <w:t>等级的</w:t>
      </w:r>
      <w:r>
        <w:t>材料为适用材料。</w:t>
      </w:r>
    </w:p>
    <w:p w14:paraId="4DBFE029">
      <w:pPr>
        <w:spacing w:line="360" w:lineRule="auto"/>
        <w:outlineLvl w:val="0"/>
        <w:rPr>
          <w:rFonts w:hint="eastAsia" w:ascii="黑体" w:hAnsi="黑体" w:eastAsia="黑体"/>
          <w:bCs/>
        </w:rPr>
      </w:pPr>
      <w:r>
        <w:rPr>
          <w:rFonts w:ascii="黑体" w:hAnsi="黑体" w:eastAsia="黑体"/>
          <w:bCs/>
        </w:rPr>
        <w:t>C.3</w:t>
      </w:r>
      <w:r>
        <w:rPr>
          <w:rFonts w:hint="eastAsia" w:ascii="黑体" w:hAnsi="黑体" w:eastAsia="黑体"/>
          <w:bCs/>
        </w:rPr>
        <w:t xml:space="preserve">  试验装置</w:t>
      </w:r>
    </w:p>
    <w:p w14:paraId="55075E48">
      <w:pPr>
        <w:spacing w:line="360" w:lineRule="auto"/>
        <w:ind w:firstLine="420"/>
      </w:pPr>
      <w:r>
        <w:t>适用仪器的示意图见图 C.1</w:t>
      </w:r>
      <w:r>
        <w:rPr>
          <w:rFonts w:hint="eastAsia"/>
        </w:rPr>
        <w:t>。</w:t>
      </w:r>
    </w:p>
    <w:p w14:paraId="16B8E4BF">
      <w:pPr>
        <w:spacing w:line="360" w:lineRule="auto"/>
        <w:outlineLvl w:val="0"/>
        <w:rPr>
          <w:rFonts w:hint="eastAsia" w:ascii="黑体" w:hAnsi="黑体" w:eastAsia="黑体"/>
          <w:bCs/>
        </w:rPr>
      </w:pPr>
      <w:r>
        <w:rPr>
          <w:rFonts w:ascii="黑体" w:hAnsi="黑体" w:eastAsia="黑体"/>
          <w:bCs/>
        </w:rPr>
        <w:t>C.4</w:t>
      </w:r>
      <w:r>
        <w:rPr>
          <w:rFonts w:hint="eastAsia" w:ascii="黑体" w:hAnsi="黑体" w:eastAsia="黑体"/>
          <w:bCs/>
        </w:rPr>
        <w:t xml:space="preserve">  试验步骤</w:t>
      </w:r>
    </w:p>
    <w:p w14:paraId="4E2C3F24">
      <w:pPr>
        <w:spacing w:line="360" w:lineRule="auto"/>
        <w:ind w:firstLine="420"/>
      </w:pPr>
      <w:r>
        <w:rPr>
          <w:rFonts w:hint="eastAsia"/>
        </w:rPr>
        <w:t>将试样</w:t>
      </w:r>
      <w:r>
        <w:t xml:space="preserve"> (3) </w:t>
      </w:r>
      <w:r>
        <w:rPr>
          <w:rFonts w:hint="eastAsia"/>
        </w:rPr>
        <w:t>固定在水平面上。将毛毡垫</w:t>
      </w:r>
      <w:r>
        <w:t xml:space="preserve"> (2) </w:t>
      </w:r>
      <w:r>
        <w:rPr>
          <w:rFonts w:hint="eastAsia"/>
        </w:rPr>
        <w:t>固定在水平滑道</w:t>
      </w:r>
      <w:r>
        <w:t xml:space="preserve"> (1) </w:t>
      </w:r>
      <w:r>
        <w:rPr>
          <w:rFonts w:hint="eastAsia"/>
        </w:rPr>
        <w:t>上，使毛毡与试样的接触总面积为</w:t>
      </w:r>
      <w:r>
        <w:t xml:space="preserve"> 3 cm²</w:t>
      </w:r>
      <w:r>
        <w:rPr>
          <w:rFonts w:hint="eastAsia"/>
        </w:rPr>
        <w:t>；施加负载</w:t>
      </w:r>
      <w:r>
        <w:t xml:space="preserve"> (6)</w:t>
      </w:r>
      <w:r>
        <w:rPr>
          <w:rFonts w:hint="eastAsia"/>
        </w:rPr>
        <w:t>，使毛毡垫所受总载荷为</w:t>
      </w:r>
      <w:r>
        <w:t xml:space="preserve"> 10 N</w:t>
      </w:r>
      <w:r>
        <w:rPr>
          <w:rFonts w:hint="eastAsia"/>
        </w:rPr>
        <w:t>；通过减速电机</w:t>
      </w:r>
      <w:r>
        <w:t xml:space="preserve"> (5) </w:t>
      </w:r>
      <w:r>
        <w:rPr>
          <w:rFonts w:hint="eastAsia"/>
        </w:rPr>
        <w:t>驱动偏心凸轮</w:t>
      </w:r>
      <w:r>
        <w:t xml:space="preserve"> (4) </w:t>
      </w:r>
      <w:r>
        <w:rPr>
          <w:rFonts w:hint="eastAsia"/>
        </w:rPr>
        <w:t>旋转</w:t>
      </w:r>
      <w:r>
        <w:t xml:space="preserve"> 100 </w:t>
      </w:r>
      <w:r>
        <w:rPr>
          <w:rFonts w:hint="eastAsia"/>
        </w:rPr>
        <w:t>次，使毛毡垫在试样表面往复运动。毛毡垫在每个方向上的移动距离应为</w:t>
      </w:r>
      <w:r>
        <w:t xml:space="preserve"> 40 mm</w:t>
      </w:r>
      <w:r>
        <w:rPr>
          <w:rFonts w:hint="eastAsia"/>
        </w:rPr>
        <w:t>。。</w:t>
      </w:r>
    </w:p>
    <w:p w14:paraId="127F140F">
      <w:pPr>
        <w:spacing w:line="360" w:lineRule="auto"/>
        <w:outlineLvl w:val="0"/>
        <w:rPr>
          <w:rFonts w:hint="eastAsia" w:ascii="黑体" w:hAnsi="黑体" w:eastAsia="黑体"/>
          <w:bCs/>
        </w:rPr>
      </w:pPr>
      <w:r>
        <w:rPr>
          <w:rFonts w:ascii="黑体" w:hAnsi="黑体" w:eastAsia="黑体"/>
          <w:bCs/>
        </w:rPr>
        <w:t>C.5</w:t>
      </w:r>
      <w:r>
        <w:rPr>
          <w:rFonts w:hint="eastAsia" w:ascii="黑体" w:hAnsi="黑体" w:eastAsia="黑体"/>
          <w:bCs/>
        </w:rPr>
        <w:t xml:space="preserve">  评价</w:t>
      </w:r>
    </w:p>
    <w:p w14:paraId="30313DF8">
      <w:pPr>
        <w:spacing w:line="360" w:lineRule="auto"/>
        <w:ind w:firstLine="420"/>
      </w:pPr>
      <w:r>
        <w:t>通过转动试样表面以检查摩擦后的表面</w:t>
      </w:r>
      <w:r>
        <w:rPr>
          <w:rFonts w:hint="eastAsia"/>
        </w:rPr>
        <w:t>是否有划痕</w:t>
      </w:r>
      <w:r>
        <w:t>（见 5.2.4）。</w:t>
      </w:r>
      <w:r>
        <w:rPr>
          <w:rFonts w:hint="eastAsia"/>
        </w:rPr>
        <w:t>镀层</w:t>
      </w:r>
      <w:r>
        <w:t>应无划伤，或仅存在不超过轻微的零星划痕。</w:t>
      </w:r>
    </w:p>
    <w:p w14:paraId="6C23279C">
      <w:pPr>
        <w:spacing w:line="360" w:lineRule="auto"/>
      </w:pPr>
    </w:p>
    <w:p w14:paraId="1BB387AE">
      <w:pPr>
        <w:spacing w:line="360" w:lineRule="auto"/>
      </w:pPr>
    </w:p>
    <w:p w14:paraId="5168E95D">
      <w:pPr>
        <w:spacing w:line="360" w:lineRule="auto"/>
      </w:pPr>
      <w:r>
        <w:drawing>
          <wp:inline distT="0" distB="0" distL="0" distR="0">
            <wp:extent cx="4746625" cy="3267710"/>
            <wp:effectExtent l="0" t="0" r="0" b="8890"/>
            <wp:docPr id="168141880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418801" name="图片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746625" cy="3267710"/>
                    </a:xfrm>
                    <a:prstGeom prst="rect">
                      <a:avLst/>
                    </a:prstGeom>
                    <a:noFill/>
                    <a:ln>
                      <a:noFill/>
                    </a:ln>
                  </pic:spPr>
                </pic:pic>
              </a:graphicData>
            </a:graphic>
          </wp:inline>
        </w:drawing>
      </w:r>
    </w:p>
    <w:p w14:paraId="40CD75BE">
      <w:pPr>
        <w:spacing w:line="360" w:lineRule="auto"/>
        <w:jc w:val="left"/>
      </w:pPr>
      <w:r>
        <w:t>1</w:t>
      </w:r>
      <w:r>
        <w:rPr>
          <w:rFonts w:hint="eastAsia"/>
        </w:rPr>
        <w:t xml:space="preserve">  滑道</w:t>
      </w:r>
    </w:p>
    <w:p w14:paraId="252AD583">
      <w:pPr>
        <w:spacing w:line="360" w:lineRule="auto"/>
        <w:jc w:val="left"/>
      </w:pPr>
      <w:r>
        <w:rPr>
          <w:rFonts w:hint="eastAsia"/>
        </w:rPr>
        <w:t>2  毛毡垫</w:t>
      </w:r>
    </w:p>
    <w:p w14:paraId="774DD41C">
      <w:pPr>
        <w:spacing w:line="360" w:lineRule="auto"/>
        <w:jc w:val="left"/>
      </w:pPr>
      <w:r>
        <w:rPr>
          <w:rFonts w:hint="eastAsia"/>
        </w:rPr>
        <w:t>3  试样</w:t>
      </w:r>
    </w:p>
    <w:p w14:paraId="7FCF27FC">
      <w:pPr>
        <w:spacing w:line="360" w:lineRule="auto"/>
        <w:jc w:val="left"/>
      </w:pPr>
      <w:r>
        <w:rPr>
          <w:rFonts w:hint="eastAsia"/>
        </w:rPr>
        <w:t>4  偏心凸轮</w:t>
      </w:r>
    </w:p>
    <w:p w14:paraId="493DEB74">
      <w:pPr>
        <w:spacing w:line="360" w:lineRule="auto"/>
        <w:jc w:val="left"/>
      </w:pPr>
      <w:r>
        <w:rPr>
          <w:rFonts w:hint="eastAsia"/>
        </w:rPr>
        <w:t>5  减速电机</w:t>
      </w:r>
    </w:p>
    <w:p w14:paraId="677E932F">
      <w:pPr>
        <w:spacing w:line="360" w:lineRule="auto"/>
        <w:jc w:val="left"/>
      </w:pPr>
      <w:r>
        <w:rPr>
          <w:rFonts w:hint="eastAsia"/>
        </w:rPr>
        <w:t>6  负载</w:t>
      </w:r>
    </w:p>
    <w:p w14:paraId="7DE16E4D">
      <w:pPr>
        <w:spacing w:line="360" w:lineRule="auto"/>
        <w:jc w:val="left"/>
      </w:pPr>
    </w:p>
    <w:p w14:paraId="4C518652">
      <w:pPr>
        <w:spacing w:line="360" w:lineRule="auto"/>
        <w:jc w:val="left"/>
      </w:pPr>
      <w:r>
        <w:rPr>
          <w:rFonts w:hint="eastAsia"/>
        </w:rPr>
        <w:t>注意：此图未按照比例绘制。</w:t>
      </w:r>
    </w:p>
    <w:p w14:paraId="6E9AC57D">
      <w:pPr>
        <w:spacing w:line="360" w:lineRule="auto"/>
        <w:jc w:val="center"/>
        <w:outlineLvl w:val="0"/>
        <w:rPr>
          <w:b/>
        </w:rPr>
      </w:pPr>
      <w:r>
        <w:rPr>
          <w:rFonts w:hint="eastAsia" w:ascii="黑体" w:hAnsi="黑体" w:eastAsia="黑体"/>
        </w:rPr>
        <w:t>图 C.1 适用耐划伤性试验装置的机构示意图</w:t>
      </w:r>
    </w:p>
    <w:p w14:paraId="4297341C">
      <w:pPr>
        <w:spacing w:line="360" w:lineRule="auto"/>
        <w:jc w:val="center"/>
        <w:rPr>
          <w:b/>
        </w:rPr>
      </w:pPr>
    </w:p>
    <w:p w14:paraId="3DB6FEFF">
      <w:pPr>
        <w:spacing w:line="360" w:lineRule="auto"/>
        <w:jc w:val="center"/>
        <w:rPr>
          <w:b/>
        </w:rPr>
      </w:pPr>
    </w:p>
    <w:p w14:paraId="30615AE6">
      <w:pPr>
        <w:spacing w:line="360" w:lineRule="auto"/>
        <w:jc w:val="center"/>
        <w:rPr>
          <w:b/>
        </w:rPr>
      </w:pPr>
    </w:p>
    <w:p w14:paraId="21E8F05D">
      <w:pPr>
        <w:spacing w:line="360" w:lineRule="auto"/>
        <w:jc w:val="center"/>
        <w:rPr>
          <w:b/>
        </w:rPr>
      </w:pPr>
    </w:p>
    <w:p w14:paraId="0059EC37">
      <w:pPr>
        <w:spacing w:line="360" w:lineRule="auto"/>
        <w:jc w:val="center"/>
        <w:rPr>
          <w:b/>
        </w:rPr>
      </w:pPr>
    </w:p>
    <w:p w14:paraId="14C7B7F3">
      <w:pPr>
        <w:spacing w:line="360" w:lineRule="auto"/>
        <w:jc w:val="center"/>
        <w:rPr>
          <w:b/>
        </w:rPr>
      </w:pPr>
    </w:p>
    <w:p w14:paraId="4CE8A112">
      <w:pPr>
        <w:spacing w:line="360" w:lineRule="auto"/>
        <w:jc w:val="center"/>
        <w:rPr>
          <w:b/>
        </w:rPr>
      </w:pPr>
    </w:p>
    <w:p w14:paraId="137815CD">
      <w:pPr>
        <w:spacing w:line="360" w:lineRule="auto"/>
        <w:jc w:val="center"/>
        <w:rPr>
          <w:b/>
        </w:rPr>
      </w:pPr>
    </w:p>
    <w:p w14:paraId="00E9127F">
      <w:pPr>
        <w:spacing w:line="360" w:lineRule="auto"/>
        <w:jc w:val="center"/>
        <w:rPr>
          <w:b/>
        </w:rPr>
      </w:pPr>
    </w:p>
    <w:p w14:paraId="08774E62">
      <w:pPr>
        <w:spacing w:line="360" w:lineRule="auto"/>
        <w:jc w:val="center"/>
        <w:rPr>
          <w:b/>
        </w:rPr>
      </w:pPr>
    </w:p>
    <w:p w14:paraId="6406BA93">
      <w:pPr>
        <w:spacing w:line="360" w:lineRule="auto"/>
        <w:jc w:val="center"/>
        <w:rPr>
          <w:b/>
        </w:rPr>
      </w:pPr>
    </w:p>
    <w:p w14:paraId="71308EDA">
      <w:pPr>
        <w:spacing w:line="360" w:lineRule="auto"/>
        <w:jc w:val="center"/>
        <w:rPr>
          <w:rFonts w:hint="eastAsia" w:ascii="黑体" w:hAnsi="黑体" w:eastAsia="黑体"/>
          <w:bCs/>
        </w:rPr>
        <w:sectPr>
          <w:pgSz w:w="11906" w:h="16838"/>
          <w:pgMar w:top="567" w:right="1134" w:bottom="1134" w:left="1134" w:header="1418" w:footer="1134" w:gutter="284"/>
          <w:cols w:space="425" w:num="1"/>
          <w:formProt w:val="0"/>
          <w:docGrid w:linePitch="312" w:charSpace="0"/>
        </w:sectPr>
      </w:pPr>
    </w:p>
    <w:p w14:paraId="6EE52380">
      <w:pPr>
        <w:spacing w:line="360" w:lineRule="auto"/>
        <w:jc w:val="center"/>
        <w:rPr>
          <w:rFonts w:hint="eastAsia" w:ascii="黑体" w:hAnsi="黑体" w:eastAsia="黑体"/>
          <w:bCs/>
        </w:rPr>
      </w:pPr>
      <w:r>
        <w:rPr>
          <w:rFonts w:hint="eastAsia" w:ascii="黑体" w:hAnsi="黑体" w:eastAsia="黑体"/>
          <w:bCs/>
        </w:rPr>
        <w:t>附录D</w:t>
      </w:r>
    </w:p>
    <w:p w14:paraId="678FCB53">
      <w:pPr>
        <w:spacing w:line="360" w:lineRule="auto"/>
        <w:jc w:val="center"/>
        <w:rPr>
          <w:rFonts w:hint="eastAsia" w:ascii="黑体" w:hAnsi="黑体" w:eastAsia="黑体"/>
          <w:bCs/>
        </w:rPr>
      </w:pPr>
      <w:r>
        <w:rPr>
          <w:rFonts w:hint="eastAsia" w:ascii="黑体" w:hAnsi="黑体" w:eastAsia="黑体"/>
          <w:bCs/>
        </w:rPr>
        <w:t>（规范性）</w:t>
      </w:r>
    </w:p>
    <w:p w14:paraId="127829AA">
      <w:pPr>
        <w:spacing w:line="360" w:lineRule="auto"/>
        <w:jc w:val="center"/>
        <w:rPr>
          <w:rFonts w:hint="eastAsia" w:ascii="黑体" w:hAnsi="黑体" w:eastAsia="黑体"/>
          <w:bCs/>
        </w:rPr>
      </w:pPr>
    </w:p>
    <w:p w14:paraId="26E31190">
      <w:pPr>
        <w:spacing w:line="360" w:lineRule="auto"/>
        <w:jc w:val="center"/>
        <w:rPr>
          <w:rFonts w:hint="eastAsia" w:ascii="黑体" w:hAnsi="黑体" w:eastAsia="黑体"/>
          <w:bCs/>
        </w:rPr>
      </w:pPr>
      <w:r>
        <w:rPr>
          <w:rFonts w:hint="eastAsia" w:ascii="黑体" w:hAnsi="黑体" w:eastAsia="黑体"/>
          <w:bCs/>
        </w:rPr>
        <w:t>漆层耐紫外线辐射试验方法</w:t>
      </w:r>
    </w:p>
    <w:p w14:paraId="70257AA1">
      <w:pPr>
        <w:spacing w:line="360" w:lineRule="auto"/>
      </w:pPr>
    </w:p>
    <w:p w14:paraId="68DE70F7">
      <w:pPr>
        <w:spacing w:line="360" w:lineRule="auto"/>
        <w:outlineLvl w:val="0"/>
        <w:rPr>
          <w:rFonts w:hint="eastAsia" w:ascii="黑体" w:hAnsi="黑体" w:eastAsia="黑体"/>
          <w:bCs/>
        </w:rPr>
      </w:pPr>
      <w:r>
        <w:rPr>
          <w:rFonts w:hint="eastAsia" w:ascii="黑体" w:hAnsi="黑体" w:eastAsia="黑体"/>
          <w:bCs/>
        </w:rPr>
        <w:t>D</w:t>
      </w:r>
      <w:r>
        <w:rPr>
          <w:rFonts w:ascii="黑体" w:hAnsi="黑体" w:eastAsia="黑体"/>
          <w:bCs/>
        </w:rPr>
        <w:t>.1</w:t>
      </w:r>
      <w:r>
        <w:rPr>
          <w:rFonts w:hint="eastAsia" w:ascii="黑体" w:hAnsi="黑体" w:eastAsia="黑体"/>
          <w:bCs/>
        </w:rPr>
        <w:t xml:space="preserve">  原理</w:t>
      </w:r>
    </w:p>
    <w:p w14:paraId="38A0A4F3">
      <w:pPr>
        <w:spacing w:line="360" w:lineRule="auto"/>
        <w:ind w:firstLine="420"/>
      </w:pPr>
      <w:r>
        <w:t>将</w:t>
      </w:r>
      <w:r>
        <w:rPr>
          <w:rFonts w:hint="eastAsia"/>
        </w:rPr>
        <w:t>漆膜、轻微镀银的餐用和装饰用</w:t>
      </w:r>
      <w:r>
        <w:t>器皿，用波长为 366 nm、功率为 180 W 的点光源灯进行 80 小时的辐照试验。</w:t>
      </w:r>
    </w:p>
    <w:p w14:paraId="05E4C35D">
      <w:pPr>
        <w:spacing w:line="360" w:lineRule="auto"/>
        <w:outlineLvl w:val="0"/>
        <w:rPr>
          <w:rFonts w:hint="eastAsia" w:ascii="黑体" w:hAnsi="黑体" w:eastAsia="黑体"/>
          <w:bCs/>
        </w:rPr>
      </w:pPr>
      <w:r>
        <w:rPr>
          <w:rFonts w:ascii="黑体" w:hAnsi="黑体" w:eastAsia="黑体"/>
          <w:bCs/>
        </w:rPr>
        <w:t>D.2</w:t>
      </w:r>
      <w:r>
        <w:rPr>
          <w:rFonts w:hint="eastAsia" w:ascii="黑体" w:hAnsi="黑体" w:eastAsia="黑体"/>
          <w:bCs/>
        </w:rPr>
        <w:t xml:space="preserve">  试验装置</w:t>
      </w:r>
    </w:p>
    <w:p w14:paraId="34278C65">
      <w:pPr>
        <w:spacing w:line="360" w:lineRule="auto"/>
        <w:ind w:firstLine="420"/>
      </w:pPr>
      <w:r>
        <w:t>可提供波长为 366 nm、功率为 180 W 的紫外线辐射，并能持续工作 80 小时的灯具。</w:t>
      </w:r>
    </w:p>
    <w:p w14:paraId="6C41CEB6">
      <w:pPr>
        <w:spacing w:line="360" w:lineRule="auto"/>
        <w:outlineLvl w:val="0"/>
        <w:rPr>
          <w:rFonts w:hint="eastAsia" w:ascii="黑体" w:hAnsi="黑体" w:eastAsia="黑体"/>
          <w:bCs/>
        </w:rPr>
      </w:pPr>
      <w:r>
        <w:rPr>
          <w:rFonts w:ascii="黑体" w:hAnsi="黑体" w:eastAsia="黑体"/>
          <w:bCs/>
        </w:rPr>
        <w:t>D.3</w:t>
      </w:r>
      <w:r>
        <w:rPr>
          <w:rFonts w:hint="eastAsia" w:ascii="黑体" w:hAnsi="黑体" w:eastAsia="黑体"/>
          <w:bCs/>
        </w:rPr>
        <w:t xml:space="preserve">  试验步骤</w:t>
      </w:r>
    </w:p>
    <w:p w14:paraId="33A41C05">
      <w:pPr>
        <w:spacing w:line="360" w:lineRule="auto"/>
        <w:ind w:firstLine="420"/>
      </w:pPr>
      <w:r>
        <w:t>遮盖试样的一半，使其不受紫外线辐射。将试样未遮盖的一半暴露于紫外线辐射下 80 小时。</w:t>
      </w:r>
    </w:p>
    <w:p w14:paraId="39D3C80E">
      <w:pPr>
        <w:spacing w:line="360" w:lineRule="auto"/>
        <w:outlineLvl w:val="0"/>
        <w:rPr>
          <w:rFonts w:hint="eastAsia" w:ascii="黑体" w:hAnsi="黑体" w:eastAsia="黑体"/>
          <w:bCs/>
        </w:rPr>
      </w:pPr>
      <w:r>
        <w:rPr>
          <w:rFonts w:ascii="黑体" w:hAnsi="黑体" w:eastAsia="黑体"/>
          <w:bCs/>
        </w:rPr>
        <w:t>D.4</w:t>
      </w:r>
      <w:r>
        <w:rPr>
          <w:rFonts w:hint="eastAsia" w:ascii="黑体" w:hAnsi="黑体" w:eastAsia="黑体"/>
          <w:bCs/>
        </w:rPr>
        <w:t xml:space="preserve">  评价</w:t>
      </w:r>
    </w:p>
    <w:p w14:paraId="0CAE8B91">
      <w:pPr>
        <w:spacing w:line="360" w:lineRule="auto"/>
        <w:ind w:firstLine="420"/>
      </w:pPr>
      <w:r>
        <w:t>试验结束后，与遮盖部分相比，受辐照表面不得出现可察觉的黄变</w:t>
      </w:r>
      <w:r>
        <w:rPr>
          <w:rFonts w:hint="eastAsia"/>
        </w:rPr>
        <w:t>。</w:t>
      </w:r>
    </w:p>
    <w:p w14:paraId="1F2D0249">
      <w:pPr>
        <w:spacing w:line="360" w:lineRule="auto"/>
        <w:ind w:firstLine="420"/>
      </w:pPr>
    </w:p>
    <w:p w14:paraId="1CBD5E5F">
      <w:pPr>
        <w:spacing w:line="360" w:lineRule="auto"/>
        <w:ind w:firstLine="420"/>
      </w:pPr>
      <w:r>
        <w:t xml:space="preserve">注：适用的灯具为 </w:t>
      </w:r>
      <w:r>
        <w:rPr>
          <w:b/>
          <w:bCs/>
        </w:rPr>
        <w:t>Fluotest forte</w:t>
      </w:r>
      <w:r>
        <w:t>，由德国贺利氏有限公司（Heraeus GmbH）生产，地址为德国哈瑙市（Hanau）邮政信箱 1553，邮编 63457。⁴⁾</w:t>
      </w:r>
      <w:r>
        <w:rPr>
          <w:rFonts w:hint="eastAsia"/>
        </w:rPr>
        <w:t xml:space="preserve"> </w:t>
      </w:r>
    </w:p>
    <w:p w14:paraId="27DA30AA">
      <w:pPr>
        <w:spacing w:line="360" w:lineRule="auto"/>
      </w:pPr>
    </w:p>
    <w:p w14:paraId="7889AE8A">
      <w:pPr>
        <w:spacing w:line="360" w:lineRule="auto"/>
      </w:pPr>
    </w:p>
    <w:p w14:paraId="54F9DA98">
      <w:pPr>
        <w:spacing w:line="360" w:lineRule="auto"/>
      </w:pPr>
    </w:p>
    <w:p w14:paraId="1043D9CE">
      <w:pPr>
        <w:spacing w:line="360" w:lineRule="auto"/>
      </w:pPr>
    </w:p>
    <w:p w14:paraId="16076C7C">
      <w:pPr>
        <w:spacing w:line="360" w:lineRule="auto"/>
      </w:pPr>
    </w:p>
    <w:p w14:paraId="35D990D0">
      <w:pPr>
        <w:spacing w:line="360" w:lineRule="auto"/>
      </w:pPr>
    </w:p>
    <w:p w14:paraId="76954524">
      <w:pPr>
        <w:spacing w:line="360" w:lineRule="auto"/>
      </w:pPr>
    </w:p>
    <w:p w14:paraId="578A5E27">
      <w:pPr>
        <w:spacing w:line="360" w:lineRule="auto"/>
      </w:pPr>
    </w:p>
    <w:p w14:paraId="724AE38B">
      <w:pPr>
        <w:spacing w:line="360" w:lineRule="auto"/>
      </w:pPr>
    </w:p>
    <w:p w14:paraId="3E08427C">
      <w:pPr>
        <w:spacing w:line="360" w:lineRule="auto"/>
      </w:pPr>
    </w:p>
    <w:p w14:paraId="5DEB539B">
      <w:pPr>
        <w:spacing w:line="360" w:lineRule="auto"/>
      </w:pPr>
    </w:p>
    <w:p w14:paraId="27F342DE">
      <w:pPr>
        <w:spacing w:line="360" w:lineRule="auto"/>
      </w:pPr>
    </w:p>
    <w:p w14:paraId="3A590528">
      <w:pPr>
        <w:spacing w:line="360" w:lineRule="auto"/>
      </w:pPr>
    </w:p>
    <w:p w14:paraId="0427A674">
      <w:pPr>
        <w:spacing w:line="360" w:lineRule="auto"/>
      </w:pPr>
    </w:p>
    <w:p w14:paraId="0029583B">
      <w:pPr>
        <w:spacing w:line="360" w:lineRule="auto"/>
        <w:ind w:firstLine="420"/>
        <w:jc w:val="center"/>
        <w:rPr>
          <w:rFonts w:hint="eastAsia" w:ascii="黑体" w:hAnsi="黑体" w:eastAsia="黑体"/>
          <w:bCs/>
        </w:rPr>
        <w:sectPr>
          <w:pgSz w:w="11906" w:h="16838"/>
          <w:pgMar w:top="567" w:right="1134" w:bottom="1134" w:left="1134" w:header="1418" w:footer="1134" w:gutter="284"/>
          <w:cols w:space="425" w:num="1"/>
          <w:formProt w:val="0"/>
          <w:docGrid w:linePitch="312" w:charSpace="0"/>
        </w:sectPr>
      </w:pPr>
    </w:p>
    <w:p w14:paraId="4D2A89BA">
      <w:pPr>
        <w:spacing w:line="360" w:lineRule="auto"/>
        <w:ind w:firstLine="420"/>
        <w:jc w:val="center"/>
        <w:rPr>
          <w:rFonts w:hint="eastAsia" w:ascii="黑体" w:hAnsi="黑体" w:eastAsia="黑体"/>
          <w:bCs/>
        </w:rPr>
      </w:pPr>
      <w:r>
        <w:rPr>
          <w:rFonts w:hint="eastAsia" w:ascii="黑体" w:hAnsi="黑体" w:eastAsia="黑体"/>
          <w:bCs/>
        </w:rPr>
        <w:t>附录E</w:t>
      </w:r>
    </w:p>
    <w:p w14:paraId="73F28A8C">
      <w:pPr>
        <w:spacing w:line="360" w:lineRule="auto"/>
        <w:ind w:firstLine="420"/>
        <w:jc w:val="center"/>
        <w:rPr>
          <w:rFonts w:hint="eastAsia" w:ascii="黑体" w:hAnsi="黑体" w:eastAsia="黑体"/>
          <w:bCs/>
        </w:rPr>
      </w:pPr>
      <w:r>
        <w:rPr>
          <w:rFonts w:hint="eastAsia" w:ascii="黑体" w:hAnsi="黑体" w:eastAsia="黑体"/>
          <w:bCs/>
        </w:rPr>
        <w:t>（规范性）</w:t>
      </w:r>
    </w:p>
    <w:p w14:paraId="3ABA0D41">
      <w:pPr>
        <w:spacing w:line="360" w:lineRule="auto"/>
        <w:ind w:firstLine="420"/>
        <w:jc w:val="center"/>
        <w:rPr>
          <w:rFonts w:hint="eastAsia" w:ascii="黑体" w:hAnsi="黑体" w:eastAsia="黑体"/>
          <w:bCs/>
        </w:rPr>
      </w:pPr>
    </w:p>
    <w:p w14:paraId="0E9B3BC7">
      <w:pPr>
        <w:spacing w:line="360" w:lineRule="auto"/>
        <w:jc w:val="center"/>
      </w:pPr>
      <w:r>
        <w:rPr>
          <w:rFonts w:hint="eastAsia" w:ascii="黑体" w:hAnsi="黑体" w:eastAsia="黑体"/>
        </w:rPr>
        <w:t>矩形、方形碟和盘抗扭强度试验方法</w:t>
      </w:r>
    </w:p>
    <w:p w14:paraId="7450E781">
      <w:pPr>
        <w:spacing w:line="360" w:lineRule="auto"/>
        <w:outlineLvl w:val="0"/>
        <w:rPr>
          <w:rFonts w:hint="eastAsia" w:ascii="黑体" w:hAnsi="黑体" w:eastAsia="黑体"/>
          <w:bCs/>
        </w:rPr>
      </w:pPr>
      <w:r>
        <w:rPr>
          <w:rFonts w:ascii="黑体" w:hAnsi="黑体" w:eastAsia="黑体"/>
          <w:bCs/>
        </w:rPr>
        <w:t>E.1</w:t>
      </w:r>
      <w:r>
        <w:rPr>
          <w:rFonts w:hint="eastAsia" w:ascii="黑体" w:hAnsi="黑体" w:eastAsia="黑体"/>
          <w:bCs/>
        </w:rPr>
        <w:t xml:space="preserve">  原理</w:t>
      </w:r>
    </w:p>
    <w:p w14:paraId="5ECE3221">
      <w:pPr>
        <w:spacing w:line="360" w:lineRule="auto"/>
        <w:ind w:firstLine="420"/>
      </w:pPr>
      <w:r>
        <w:rPr>
          <w:rFonts w:hint="eastAsia"/>
        </w:rPr>
        <w:t>检查矩形、方形碟和盘在正常使用中施加负载时可能发生的形变量。</w:t>
      </w:r>
    </w:p>
    <w:p w14:paraId="2765F5FB">
      <w:pPr>
        <w:spacing w:before="240" w:beforeLines="100" w:after="240" w:afterLines="100" w:line="360" w:lineRule="auto"/>
        <w:outlineLvl w:val="0"/>
        <w:rPr>
          <w:rFonts w:hint="eastAsia" w:ascii="黑体" w:hAnsi="黑体" w:eastAsia="黑体"/>
          <w:bCs/>
        </w:rPr>
      </w:pPr>
      <w:r>
        <w:rPr>
          <w:rFonts w:ascii="黑体" w:hAnsi="黑体" w:eastAsia="黑体"/>
          <w:bCs/>
        </w:rPr>
        <w:t>E.2</w:t>
      </w:r>
      <w:r>
        <w:rPr>
          <w:rFonts w:hint="eastAsia" w:ascii="黑体" w:hAnsi="黑体" w:eastAsia="黑体"/>
          <w:bCs/>
        </w:rPr>
        <w:t xml:space="preserve">  试验装置</w:t>
      </w:r>
    </w:p>
    <w:p w14:paraId="0D9A576F">
      <w:pPr>
        <w:spacing w:line="360" w:lineRule="auto"/>
        <w:outlineLvl w:val="0"/>
        <w:rPr>
          <w:rFonts w:hint="eastAsia" w:ascii="黑体" w:hAnsi="黑体" w:eastAsia="黑体"/>
          <w:bCs/>
        </w:rPr>
      </w:pPr>
      <w:r>
        <w:rPr>
          <w:rFonts w:ascii="黑体" w:hAnsi="黑体" w:eastAsia="黑体"/>
          <w:bCs/>
        </w:rPr>
        <w:t>E.2.1</w:t>
      </w:r>
      <w:r>
        <w:rPr>
          <w:rFonts w:hint="eastAsia" w:ascii="黑体" w:hAnsi="黑体" w:eastAsia="黑体"/>
          <w:bCs/>
        </w:rPr>
        <w:t xml:space="preserve">  支撑杆  </w:t>
      </w:r>
    </w:p>
    <w:p w14:paraId="7518E81B">
      <w:pPr>
        <w:spacing w:line="360" w:lineRule="auto"/>
        <w:ind w:firstLine="420" w:firstLineChars="200"/>
        <w:outlineLvl w:val="0"/>
      </w:pPr>
      <w:r>
        <w:rPr>
          <w:rFonts w:hint="eastAsia"/>
        </w:rPr>
        <w:t>边长70mm</w:t>
      </w:r>
      <w:r>
        <w:rPr>
          <w:rFonts w:hint="eastAsia" w:ascii="宋体"/>
        </w:rPr>
        <w:t>±</w:t>
      </w:r>
      <w:r>
        <w:rPr>
          <w:rFonts w:hint="eastAsia"/>
        </w:rPr>
        <w:t>5mm的刚性方杆。</w:t>
      </w:r>
    </w:p>
    <w:p w14:paraId="578D4925">
      <w:pPr>
        <w:spacing w:line="360" w:lineRule="auto"/>
        <w:outlineLvl w:val="0"/>
        <w:rPr>
          <w:rFonts w:hint="eastAsia" w:ascii="黑体" w:hAnsi="黑体" w:eastAsia="黑体"/>
          <w:bCs/>
        </w:rPr>
      </w:pPr>
      <w:r>
        <w:rPr>
          <w:rFonts w:ascii="黑体" w:hAnsi="黑体" w:eastAsia="黑体"/>
          <w:bCs/>
        </w:rPr>
        <w:t>E.2.2</w:t>
      </w:r>
      <w:r>
        <w:rPr>
          <w:rFonts w:hint="eastAsia" w:ascii="黑体" w:hAnsi="黑体" w:eastAsia="黑体"/>
          <w:bCs/>
        </w:rPr>
        <w:t xml:space="preserve">  负载  </w:t>
      </w:r>
    </w:p>
    <w:p w14:paraId="623BFBA9">
      <w:pPr>
        <w:spacing w:line="360" w:lineRule="auto"/>
        <w:ind w:firstLine="420" w:firstLineChars="200"/>
        <w:outlineLvl w:val="0"/>
      </w:pPr>
      <w:r>
        <w:rPr>
          <w:rFonts w:hint="eastAsia"/>
        </w:rPr>
        <w:t>直径为80</w:t>
      </w:r>
      <w:r>
        <w:t>mm</w:t>
      </w:r>
      <w:r>
        <w:rPr>
          <w:rFonts w:hint="eastAsia" w:ascii="宋体"/>
        </w:rPr>
        <w:t>±</w:t>
      </w:r>
      <w:r>
        <w:t>5mm</w:t>
      </w:r>
      <w:r>
        <w:rPr>
          <w:rFonts w:hint="eastAsia"/>
        </w:rPr>
        <w:t>，质量为2.5</w:t>
      </w:r>
      <w:r>
        <w:t>kg</w:t>
      </w:r>
      <w:r>
        <w:rPr>
          <w:rFonts w:hint="eastAsia" w:ascii="宋体"/>
        </w:rPr>
        <w:t>±</w:t>
      </w:r>
      <w:r>
        <w:t>0.1kg</w:t>
      </w:r>
      <w:r>
        <w:rPr>
          <w:rFonts w:hint="eastAsia"/>
        </w:rPr>
        <w:t>的圆柱形砝码。</w:t>
      </w:r>
    </w:p>
    <w:p w14:paraId="32327FD3">
      <w:pPr>
        <w:spacing w:line="360" w:lineRule="auto"/>
        <w:ind w:firstLine="420"/>
      </w:pPr>
      <w:r>
        <w:rPr>
          <w:rFonts w:hint="eastAsia"/>
        </w:rPr>
        <w:t>注：支撑杆、负载与样件的接触面可覆盖毛毡或粗呢后以减少对镀层表面的划伤。</w:t>
      </w:r>
    </w:p>
    <w:p w14:paraId="565E9E0A">
      <w:pPr>
        <w:spacing w:line="360" w:lineRule="auto"/>
        <w:outlineLvl w:val="0"/>
        <w:rPr>
          <w:rFonts w:hint="eastAsia" w:ascii="黑体" w:hAnsi="黑体" w:eastAsia="黑体"/>
          <w:bCs/>
        </w:rPr>
      </w:pPr>
      <w:r>
        <w:rPr>
          <w:rFonts w:ascii="黑体" w:hAnsi="黑体" w:eastAsia="黑体"/>
          <w:bCs/>
        </w:rPr>
        <w:t>E.3</w:t>
      </w:r>
      <w:r>
        <w:rPr>
          <w:rFonts w:hint="eastAsia" w:ascii="黑体" w:hAnsi="黑体" w:eastAsia="黑体"/>
          <w:bCs/>
        </w:rPr>
        <w:t xml:space="preserve">  试验步骤</w:t>
      </w:r>
    </w:p>
    <w:p w14:paraId="06E1BE0D">
      <w:pPr>
        <w:spacing w:line="360" w:lineRule="auto"/>
      </w:pPr>
      <w:r>
        <w:rPr>
          <w:rFonts w:hint="eastAsia"/>
        </w:rPr>
        <w:t>E.3.1  沿样件的对角线方向放置支撑杆，然后在另一条对角线的两端施加两个负载，如图E1所示，经过不少于30S后，测量并记录样件受载表面的弹性形变量。</w:t>
      </w:r>
    </w:p>
    <w:p w14:paraId="1D44B917">
      <w:pPr>
        <w:spacing w:line="360" w:lineRule="auto"/>
      </w:pPr>
      <w:r>
        <w:rPr>
          <w:rFonts w:hint="eastAsia"/>
        </w:rPr>
        <w:t>E.3.2  将支撑杆移动到样件的另一对角线上，重复试验。</w:t>
      </w:r>
    </w:p>
    <w:p w14:paraId="707D5BF4">
      <w:pPr>
        <w:spacing w:line="360" w:lineRule="auto"/>
      </w:pPr>
      <w:r>
        <w:rPr>
          <w:rFonts w:ascii="黑体" w:hAnsi="黑体" w:eastAsia="黑体"/>
          <w:bCs/>
        </w:rPr>
        <w:t>E.3.3</w:t>
      </w:r>
      <w:r>
        <w:rPr>
          <w:rFonts w:hint="eastAsia" w:ascii="黑体" w:hAnsi="黑体" w:eastAsia="黑体"/>
          <w:bCs/>
        </w:rPr>
        <w:t xml:space="preserve"> </w:t>
      </w:r>
      <w:r>
        <w:rPr>
          <w:rFonts w:hint="eastAsia"/>
        </w:rPr>
        <w:t xml:space="preserve"> 结果表示</w:t>
      </w:r>
    </w:p>
    <w:p w14:paraId="143D8D1D">
      <w:pPr>
        <w:spacing w:line="360" w:lineRule="auto"/>
        <w:ind w:firstLine="420"/>
      </w:pPr>
      <w:r>
        <w:rPr>
          <w:rFonts w:hint="eastAsia"/>
        </w:rPr>
        <w:t>按下列公式计算样件的形变量</w:t>
      </w:r>
    </w:p>
    <w:p w14:paraId="185B538D">
      <w:pPr>
        <w:spacing w:line="360" w:lineRule="auto"/>
        <w:ind w:firstLine="420"/>
      </w:pPr>
      <w:r>
        <w:rPr>
          <w:rFonts w:hint="eastAsia"/>
        </w:rPr>
        <w:t xml:space="preserve">    </w:t>
      </w:r>
      <w:r>
        <w:t xml:space="preserve">    100(a+b)</w:t>
      </w:r>
    </w:p>
    <w:p w14:paraId="02A0FCAD">
      <w:pPr>
        <w:spacing w:line="360" w:lineRule="auto"/>
        <w:ind w:firstLine="420"/>
        <w:rPr>
          <w:u w:val="single"/>
        </w:rPr>
      </w:pPr>
      <w:r>
        <w:t xml:space="preserve">    d=———————</w:t>
      </w:r>
    </w:p>
    <w:p w14:paraId="750A3204">
      <w:pPr>
        <w:spacing w:line="360" w:lineRule="auto"/>
        <w:ind w:firstLine="420"/>
        <w:outlineLvl w:val="0"/>
      </w:pPr>
      <w:r>
        <w:t xml:space="preserve">            L</w:t>
      </w:r>
    </w:p>
    <w:p w14:paraId="232DB400">
      <w:pPr>
        <w:spacing w:line="360" w:lineRule="auto"/>
      </w:pPr>
      <w:r>
        <w:rPr>
          <w:rFonts w:hint="eastAsia"/>
        </w:rPr>
        <w:t>其中：</w:t>
      </w:r>
    </w:p>
    <w:p w14:paraId="2B5F27D0">
      <w:pPr>
        <w:spacing w:line="360" w:lineRule="auto"/>
      </w:pPr>
      <w:r>
        <w:t>d</w:t>
      </w:r>
      <w:r>
        <w:rPr>
          <w:rFonts w:hint="eastAsia"/>
        </w:rPr>
        <w:t xml:space="preserve"> 是受载后样件的形变量，以被测样件每100mm长度的变形量mm表示（即mm/100mm）</w:t>
      </w:r>
    </w:p>
    <w:p w14:paraId="7C8718CC">
      <w:pPr>
        <w:spacing w:line="360" w:lineRule="auto"/>
      </w:pPr>
      <w:r>
        <w:rPr>
          <w:rFonts w:hint="eastAsia"/>
        </w:rPr>
        <w:t>a 是a点受载后的弹性变形量</w:t>
      </w:r>
    </w:p>
    <w:p w14:paraId="65CF39D3">
      <w:pPr>
        <w:spacing w:line="360" w:lineRule="auto"/>
      </w:pPr>
      <w:r>
        <w:rPr>
          <w:rFonts w:hint="eastAsia"/>
        </w:rPr>
        <w:t>b 是b点受载后的弹性变形量</w:t>
      </w:r>
    </w:p>
    <w:p w14:paraId="59EA4D42">
      <w:pPr>
        <w:spacing w:line="360" w:lineRule="auto"/>
      </w:pPr>
      <w:r>
        <w:rPr>
          <w:rFonts w:hint="eastAsia"/>
        </w:rPr>
        <w:t>L 是对角线长度</w:t>
      </w:r>
    </w:p>
    <w:p w14:paraId="0CA2D59D">
      <w:pPr>
        <w:spacing w:line="360" w:lineRule="auto"/>
        <w:ind w:firstLine="3150" w:firstLineChars="1500"/>
      </w:pPr>
      <w:r>
        <w:rPr>
          <w:rFonts w:hint="eastAsia"/>
        </w:rPr>
        <w:t xml:space="preserve">                               </w:t>
      </w:r>
    </w:p>
    <w:p w14:paraId="5DE9AC71">
      <w:pPr>
        <w:spacing w:line="360" w:lineRule="auto"/>
      </w:pPr>
    </w:p>
    <w:p w14:paraId="68896508">
      <w:pPr>
        <w:spacing w:line="360" w:lineRule="auto"/>
      </w:pPr>
      <w:r>
        <w:drawing>
          <wp:inline distT="0" distB="0" distL="0" distR="0">
            <wp:extent cx="5497195" cy="6369050"/>
            <wp:effectExtent l="0" t="0" r="8255" b="0"/>
            <wp:docPr id="8569830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983040" name="图片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497195" cy="6369050"/>
                    </a:xfrm>
                    <a:prstGeom prst="rect">
                      <a:avLst/>
                    </a:prstGeom>
                    <a:noFill/>
                    <a:ln>
                      <a:noFill/>
                    </a:ln>
                  </pic:spPr>
                </pic:pic>
              </a:graphicData>
            </a:graphic>
          </wp:inline>
        </w:drawing>
      </w:r>
    </w:p>
    <w:p w14:paraId="79F5D904">
      <w:pPr>
        <w:spacing w:line="360" w:lineRule="auto"/>
        <w:jc w:val="left"/>
      </w:pPr>
      <w:r>
        <w:t xml:space="preserve">                                                   </w:t>
      </w:r>
      <w:r>
        <w:rPr>
          <w:rFonts w:hint="eastAsia"/>
        </w:rPr>
        <w:t xml:space="preserve">                                                  </w:t>
      </w:r>
      <w:bookmarkStart w:id="32" w:name="_Hlk224305340"/>
      <w:r>
        <w:rPr>
          <w:rFonts w:hint="eastAsia"/>
        </w:rPr>
        <w:t>注：支撑棒紧靠在被测样本底平面边角上。</w:t>
      </w:r>
      <w:bookmarkEnd w:id="32"/>
    </w:p>
    <w:p w14:paraId="67936AFB">
      <w:pPr>
        <w:spacing w:line="360" w:lineRule="auto"/>
        <w:jc w:val="center"/>
        <w:outlineLvl w:val="0"/>
        <w:rPr>
          <w:b/>
        </w:rPr>
      </w:pPr>
      <w:r>
        <w:rPr>
          <w:rFonts w:hint="eastAsia" w:ascii="黑体" w:hAnsi="黑体" w:eastAsia="黑体"/>
        </w:rPr>
        <w:t>图E.1  矩形、方形碟和盘的抗扭强度试验</w:t>
      </w:r>
    </w:p>
    <w:p w14:paraId="1D7C1B31">
      <w:pPr>
        <w:spacing w:line="360" w:lineRule="auto"/>
        <w:outlineLvl w:val="0"/>
        <w:rPr>
          <w:b/>
        </w:rPr>
      </w:pPr>
    </w:p>
    <w:p w14:paraId="3D2BF1E1">
      <w:pPr>
        <w:spacing w:line="360" w:lineRule="auto"/>
        <w:outlineLvl w:val="0"/>
        <w:rPr>
          <w:b/>
        </w:rPr>
      </w:pPr>
    </w:p>
    <w:p w14:paraId="59EB1EBA">
      <w:pPr>
        <w:spacing w:line="360" w:lineRule="auto"/>
        <w:outlineLvl w:val="0"/>
        <w:rPr>
          <w:b/>
        </w:rPr>
      </w:pPr>
    </w:p>
    <w:p w14:paraId="2C06A52E">
      <w:pPr>
        <w:spacing w:line="360" w:lineRule="auto"/>
        <w:outlineLvl w:val="0"/>
        <w:rPr>
          <w:b/>
        </w:rPr>
      </w:pPr>
    </w:p>
    <w:p w14:paraId="15FBA6DC">
      <w:pPr>
        <w:spacing w:line="360" w:lineRule="auto"/>
        <w:outlineLvl w:val="0"/>
        <w:rPr>
          <w:b/>
        </w:rPr>
        <w:sectPr>
          <w:pgSz w:w="11906" w:h="16838"/>
          <w:pgMar w:top="567" w:right="1134" w:bottom="1134" w:left="1134" w:header="1418" w:footer="1134" w:gutter="284"/>
          <w:cols w:space="425" w:num="1"/>
          <w:formProt w:val="0"/>
          <w:docGrid w:linePitch="312" w:charSpace="0"/>
        </w:sectPr>
      </w:pPr>
      <w:r>
        <w:rPr>
          <w:b/>
        </w:rPr>
        <w:t xml:space="preserve">                                   </w:t>
      </w:r>
    </w:p>
    <w:p w14:paraId="723D14E5">
      <w:pPr>
        <w:spacing w:line="360" w:lineRule="auto"/>
        <w:jc w:val="center"/>
        <w:outlineLvl w:val="0"/>
        <w:rPr>
          <w:rFonts w:hint="eastAsia" w:ascii="黑体" w:hAnsi="黑体" w:eastAsia="黑体"/>
          <w:bCs/>
        </w:rPr>
      </w:pPr>
      <w:r>
        <w:rPr>
          <w:rFonts w:hint="eastAsia" w:ascii="黑体" w:hAnsi="黑体" w:eastAsia="黑体"/>
          <w:bCs/>
        </w:rPr>
        <w:t>附录F</w:t>
      </w:r>
    </w:p>
    <w:p w14:paraId="2C578044">
      <w:pPr>
        <w:spacing w:line="360" w:lineRule="auto"/>
        <w:jc w:val="center"/>
        <w:rPr>
          <w:rFonts w:hint="eastAsia" w:ascii="黑体" w:hAnsi="黑体" w:eastAsia="黑体"/>
          <w:bCs/>
        </w:rPr>
      </w:pPr>
      <w:r>
        <w:rPr>
          <w:rFonts w:hint="eastAsia" w:ascii="黑体" w:hAnsi="黑体" w:eastAsia="黑体"/>
          <w:bCs/>
        </w:rPr>
        <w:t>（规范性）</w:t>
      </w:r>
    </w:p>
    <w:p w14:paraId="33E079E9">
      <w:pPr>
        <w:spacing w:line="360" w:lineRule="auto"/>
        <w:jc w:val="center"/>
        <w:rPr>
          <w:rFonts w:hint="eastAsia" w:ascii="黑体" w:hAnsi="黑体" w:eastAsia="黑体"/>
          <w:bCs/>
        </w:rPr>
      </w:pPr>
    </w:p>
    <w:p w14:paraId="45B1A4E1">
      <w:pPr>
        <w:spacing w:line="360" w:lineRule="auto"/>
        <w:jc w:val="center"/>
        <w:rPr>
          <w:rFonts w:hint="eastAsia" w:ascii="黑体" w:hAnsi="黑体" w:eastAsia="黑体"/>
        </w:rPr>
      </w:pPr>
      <w:r>
        <w:rPr>
          <w:rFonts w:hint="eastAsia" w:ascii="黑体" w:hAnsi="黑体" w:eastAsia="黑体"/>
        </w:rPr>
        <w:t>碟和盘的抗凹变试验方法</w:t>
      </w:r>
    </w:p>
    <w:p w14:paraId="4B0F1F48">
      <w:pPr>
        <w:spacing w:line="360" w:lineRule="auto"/>
        <w:jc w:val="center"/>
      </w:pPr>
    </w:p>
    <w:p w14:paraId="1E2FFB4E">
      <w:pPr>
        <w:pStyle w:val="17"/>
        <w:spacing w:line="360" w:lineRule="auto"/>
      </w:pPr>
    </w:p>
    <w:p w14:paraId="31C89343">
      <w:pPr>
        <w:spacing w:line="360" w:lineRule="auto"/>
        <w:jc w:val="left"/>
        <w:rPr>
          <w:rFonts w:hint="eastAsia" w:ascii="黑体" w:hAnsi="黑体" w:eastAsia="黑体"/>
        </w:rPr>
      </w:pPr>
      <w:r>
        <w:rPr>
          <w:rFonts w:hint="eastAsia" w:ascii="黑体" w:hAnsi="黑体" w:eastAsia="黑体"/>
        </w:rPr>
        <w:t>F.1  原理</w:t>
      </w:r>
    </w:p>
    <w:p w14:paraId="76C64675">
      <w:pPr>
        <w:spacing w:line="360" w:lineRule="auto"/>
        <w:ind w:firstLine="420"/>
      </w:pPr>
      <w:r>
        <w:rPr>
          <w:rFonts w:hint="eastAsia"/>
        </w:rPr>
        <w:t>模拟正常使用下可能发生的碰撞，检查被测碟和盘的变形情况。</w:t>
      </w:r>
    </w:p>
    <w:p w14:paraId="2F89DD88">
      <w:pPr>
        <w:spacing w:line="360" w:lineRule="auto"/>
        <w:jc w:val="left"/>
        <w:rPr>
          <w:rFonts w:hint="eastAsia" w:ascii="黑体" w:hAnsi="黑体" w:eastAsia="黑体"/>
        </w:rPr>
      </w:pPr>
      <w:r>
        <w:rPr>
          <w:rFonts w:hint="eastAsia" w:ascii="黑体" w:hAnsi="黑体" w:eastAsia="黑体"/>
        </w:rPr>
        <w:t>F.2  试验装置</w:t>
      </w:r>
    </w:p>
    <w:p w14:paraId="57047AF4">
      <w:pPr>
        <w:spacing w:line="360" w:lineRule="auto"/>
      </w:pPr>
      <w:r>
        <w:rPr>
          <w:rFonts w:hint="eastAsia"/>
        </w:rPr>
        <w:t>F.2.1  负载  按照附录E.2.2。</w:t>
      </w:r>
    </w:p>
    <w:p w14:paraId="61EDC698">
      <w:pPr>
        <w:spacing w:line="360" w:lineRule="auto"/>
        <w:jc w:val="left"/>
        <w:rPr>
          <w:rFonts w:hint="eastAsia" w:ascii="黑体" w:hAnsi="黑体" w:eastAsia="黑体"/>
        </w:rPr>
      </w:pPr>
      <w:r>
        <w:rPr>
          <w:rFonts w:hint="eastAsia" w:ascii="黑体" w:hAnsi="黑体" w:eastAsia="黑体"/>
        </w:rPr>
        <w:t>F.3  试验步骤</w:t>
      </w:r>
    </w:p>
    <w:p w14:paraId="79E89AE5">
      <w:pPr>
        <w:spacing w:line="360" w:lineRule="auto"/>
      </w:pPr>
      <w:r>
        <w:rPr>
          <w:rFonts w:hint="eastAsia"/>
        </w:rPr>
        <w:t>F.3.1  模仿正常使用方法抬起试验样本，使其不受任何支撑，施加一圆柱负载到被测样件的底平面的任意一点，然后移开负载，记录下在施加负载和/或移开负载后被测样件受载表面是否产生任何塌陷现象。</w:t>
      </w:r>
    </w:p>
    <w:p w14:paraId="6B8B2FAF">
      <w:pPr>
        <w:spacing w:line="360" w:lineRule="auto"/>
      </w:pPr>
      <w:r>
        <w:rPr>
          <w:rFonts w:hint="eastAsia"/>
        </w:rPr>
        <w:t>F.3.2  将试验件翻转向上，再重复F.3.1试验。</w:t>
      </w:r>
    </w:p>
    <w:p w14:paraId="55B14D60">
      <w:pPr>
        <w:spacing w:line="360" w:lineRule="auto"/>
      </w:pPr>
    </w:p>
    <w:p w14:paraId="0DF23F02">
      <w:pPr>
        <w:spacing w:line="360" w:lineRule="auto"/>
      </w:pPr>
    </w:p>
    <w:p w14:paraId="2167EF1E">
      <w:pPr>
        <w:spacing w:line="360" w:lineRule="auto"/>
      </w:pPr>
    </w:p>
    <w:p w14:paraId="2B4D1F00">
      <w:pPr>
        <w:spacing w:line="360" w:lineRule="auto"/>
      </w:pPr>
    </w:p>
    <w:p w14:paraId="48AB1951">
      <w:pPr>
        <w:spacing w:line="360" w:lineRule="auto"/>
      </w:pPr>
    </w:p>
    <w:p w14:paraId="66F71BDB">
      <w:pPr>
        <w:spacing w:line="360" w:lineRule="auto"/>
      </w:pPr>
    </w:p>
    <w:p w14:paraId="30F47BD3">
      <w:pPr>
        <w:spacing w:line="360" w:lineRule="auto"/>
      </w:pPr>
    </w:p>
    <w:p w14:paraId="2E3F0A45">
      <w:pPr>
        <w:spacing w:line="360" w:lineRule="auto"/>
      </w:pPr>
    </w:p>
    <w:p w14:paraId="4379D0E2">
      <w:pPr>
        <w:spacing w:line="360" w:lineRule="auto"/>
      </w:pPr>
    </w:p>
    <w:p w14:paraId="334F4372">
      <w:pPr>
        <w:spacing w:line="360" w:lineRule="auto"/>
      </w:pPr>
    </w:p>
    <w:p w14:paraId="02DB41FC">
      <w:pPr>
        <w:spacing w:line="360" w:lineRule="auto"/>
      </w:pPr>
    </w:p>
    <w:p w14:paraId="307F24A8">
      <w:pPr>
        <w:spacing w:line="360" w:lineRule="auto"/>
      </w:pPr>
    </w:p>
    <w:p w14:paraId="18AE1F25">
      <w:pPr>
        <w:spacing w:line="360" w:lineRule="auto"/>
      </w:pPr>
    </w:p>
    <w:p w14:paraId="6AED9E50">
      <w:pPr>
        <w:spacing w:line="360" w:lineRule="auto"/>
      </w:pPr>
    </w:p>
    <w:p w14:paraId="38DF5507">
      <w:pPr>
        <w:spacing w:line="360" w:lineRule="auto"/>
      </w:pPr>
    </w:p>
    <w:p w14:paraId="6ACDD205">
      <w:pPr>
        <w:spacing w:line="360" w:lineRule="auto"/>
        <w:jc w:val="center"/>
        <w:outlineLvl w:val="0"/>
        <w:rPr>
          <w:rFonts w:hint="eastAsia" w:ascii="黑体" w:hAnsi="黑体" w:eastAsia="黑体"/>
          <w:bCs/>
        </w:rPr>
        <w:sectPr>
          <w:pgSz w:w="11906" w:h="16838"/>
          <w:pgMar w:top="567" w:right="1134" w:bottom="1134" w:left="1134" w:header="1418" w:footer="1134" w:gutter="284"/>
          <w:cols w:space="425" w:num="1"/>
          <w:formProt w:val="0"/>
          <w:docGrid w:linePitch="312" w:charSpace="0"/>
        </w:sectPr>
      </w:pPr>
    </w:p>
    <w:p w14:paraId="74FEF9E8">
      <w:pPr>
        <w:spacing w:line="360" w:lineRule="auto"/>
        <w:jc w:val="center"/>
        <w:rPr>
          <w:rFonts w:hint="eastAsia" w:ascii="黑体" w:hAnsi="黑体" w:eastAsia="黑体"/>
        </w:rPr>
      </w:pPr>
      <w:r>
        <w:rPr>
          <w:rFonts w:hint="eastAsia" w:ascii="黑体" w:hAnsi="黑体" w:eastAsia="黑体"/>
        </w:rPr>
        <w:t>附录G</w:t>
      </w:r>
    </w:p>
    <w:p w14:paraId="74C62F4A">
      <w:pPr>
        <w:spacing w:line="360" w:lineRule="auto"/>
        <w:jc w:val="center"/>
        <w:rPr>
          <w:rFonts w:hint="eastAsia" w:ascii="黑体" w:hAnsi="黑体" w:eastAsia="黑体"/>
        </w:rPr>
      </w:pPr>
      <w:r>
        <w:rPr>
          <w:rFonts w:hint="eastAsia" w:ascii="黑体" w:hAnsi="黑体" w:eastAsia="黑体"/>
        </w:rPr>
        <w:t>（规范性）</w:t>
      </w:r>
    </w:p>
    <w:p w14:paraId="72112D61">
      <w:pPr>
        <w:spacing w:line="360" w:lineRule="auto"/>
        <w:jc w:val="center"/>
        <w:rPr>
          <w:rFonts w:hint="eastAsia" w:ascii="黑体" w:hAnsi="黑体" w:eastAsia="黑体"/>
        </w:rPr>
      </w:pPr>
      <w:r>
        <w:rPr>
          <w:rFonts w:hint="eastAsia" w:ascii="黑体" w:hAnsi="黑体" w:eastAsia="黑体"/>
        </w:rPr>
        <w:t>器皿负载强度试验方法</w:t>
      </w:r>
    </w:p>
    <w:p w14:paraId="1806DA0D">
      <w:pPr>
        <w:spacing w:line="360" w:lineRule="auto"/>
      </w:pPr>
    </w:p>
    <w:p w14:paraId="59E7E948">
      <w:pPr>
        <w:spacing w:line="360" w:lineRule="auto"/>
        <w:jc w:val="left"/>
        <w:rPr>
          <w:rFonts w:hint="eastAsia" w:ascii="黑体" w:hAnsi="黑体" w:eastAsia="黑体"/>
        </w:rPr>
      </w:pPr>
      <w:r>
        <w:rPr>
          <w:rFonts w:hint="eastAsia" w:ascii="黑体" w:hAnsi="黑体" w:eastAsia="黑体"/>
        </w:rPr>
        <w:t>G.1  原理</w:t>
      </w:r>
    </w:p>
    <w:p w14:paraId="30ED50B7">
      <w:pPr>
        <w:spacing w:line="360" w:lineRule="auto"/>
        <w:ind w:firstLine="420" w:firstLineChars="200"/>
      </w:pPr>
      <w:r>
        <w:t>在</w:t>
      </w:r>
      <w:r>
        <w:rPr>
          <w:rFonts w:hint="eastAsia"/>
        </w:rPr>
        <w:t>器皿</w:t>
      </w:r>
      <w:r>
        <w:t>装填超过正常使用工况的载荷后进行起吊，随后检查</w:t>
      </w:r>
      <w:r>
        <w:rPr>
          <w:rFonts w:hint="eastAsia"/>
        </w:rPr>
        <w:t>器皿的</w:t>
      </w:r>
      <w:r>
        <w:t>变形情况。</w:t>
      </w:r>
    </w:p>
    <w:p w14:paraId="1B3E42FE">
      <w:pPr>
        <w:spacing w:line="360" w:lineRule="auto"/>
        <w:jc w:val="left"/>
        <w:rPr>
          <w:rFonts w:hint="eastAsia" w:ascii="黑体" w:hAnsi="黑体" w:eastAsia="黑体"/>
        </w:rPr>
      </w:pPr>
      <w:r>
        <w:rPr>
          <w:rFonts w:hint="eastAsia" w:ascii="黑体" w:hAnsi="黑体" w:eastAsia="黑体"/>
        </w:rPr>
        <w:t>G.2  试验装置</w:t>
      </w:r>
    </w:p>
    <w:p w14:paraId="3E9CBAD4">
      <w:pPr>
        <w:spacing w:line="360" w:lineRule="auto"/>
      </w:pPr>
      <w:r>
        <w:rPr>
          <w:rFonts w:hint="eastAsia"/>
        </w:rPr>
        <w:t>G.2.1  负载  直径10mm</w:t>
      </w:r>
      <w:r>
        <w:rPr>
          <w:rFonts w:hint="eastAsia" w:ascii="宋体"/>
        </w:rPr>
        <w:t>±</w:t>
      </w:r>
      <w:r>
        <w:rPr>
          <w:rFonts w:hint="eastAsia"/>
        </w:rPr>
        <w:t>5mm的金属球。</w:t>
      </w:r>
    </w:p>
    <w:p w14:paraId="1DB82578">
      <w:pPr>
        <w:spacing w:line="360" w:lineRule="auto"/>
        <w:jc w:val="left"/>
        <w:rPr>
          <w:rFonts w:hint="eastAsia" w:ascii="黑体" w:hAnsi="黑体" w:eastAsia="黑体"/>
        </w:rPr>
      </w:pPr>
      <w:r>
        <w:rPr>
          <w:rFonts w:hint="eastAsia" w:ascii="黑体" w:hAnsi="黑体" w:eastAsia="黑体"/>
        </w:rPr>
        <w:t>G.3  试验步骤</w:t>
      </w:r>
    </w:p>
    <w:p w14:paraId="3C8226E3">
      <w:pPr>
        <w:spacing w:line="360" w:lineRule="auto"/>
      </w:pPr>
      <w:r>
        <w:rPr>
          <w:rFonts w:hint="eastAsia"/>
        </w:rPr>
        <w:t xml:space="preserve">G.3.1  </w:t>
      </w:r>
      <w:r>
        <w:t xml:space="preserve">在 20 </w:t>
      </w:r>
      <w:r>
        <w:rPr>
          <w:rFonts w:ascii="Cambria Math" w:hAnsi="Cambria Math" w:cs="Cambria Math"/>
        </w:rPr>
        <w:t>℃</w:t>
      </w:r>
      <w:r>
        <w:t xml:space="preserve"> </w:t>
      </w:r>
      <w:r>
        <w:rPr>
          <w:rFonts w:cs="Calibri"/>
        </w:rPr>
        <w:t>±</w:t>
      </w:r>
      <w:r>
        <w:t xml:space="preserve"> 5 </w:t>
      </w:r>
      <w:r>
        <w:rPr>
          <w:rFonts w:ascii="Cambria Math" w:hAnsi="Cambria Math" w:cs="Cambria Math"/>
        </w:rPr>
        <w:t>℃</w:t>
      </w:r>
      <w:r>
        <w:t xml:space="preserve"> 条件下，向试样内注入已知体积的水，注水至距容器边缘 15 mm ± 1 mm 处，以此确定试样的有效</w:t>
      </w:r>
      <w:r>
        <w:rPr>
          <w:rFonts w:hint="eastAsia"/>
        </w:rPr>
        <w:t>容量</w:t>
      </w:r>
      <w:r>
        <w:t>。</w:t>
      </w:r>
    </w:p>
    <w:p w14:paraId="681AB871">
      <w:pPr>
        <w:spacing w:line="360" w:lineRule="auto"/>
      </w:pPr>
      <w:r>
        <w:rPr>
          <w:rFonts w:hint="eastAsia"/>
        </w:rPr>
        <w:t>G.3.2  向试样内无冲击地装入金属球：</w:t>
      </w:r>
    </w:p>
    <w:p w14:paraId="6422A90E">
      <w:pPr>
        <w:spacing w:line="360" w:lineRule="auto"/>
      </w:pPr>
      <w:r>
        <w:rPr>
          <w:rFonts w:hint="eastAsia"/>
        </w:rPr>
        <w:t>若容器有效容积 ≤ 5 L：按每毫升有效容积 3 g 的金属球质量装填；</w:t>
      </w:r>
    </w:p>
    <w:p w14:paraId="20BC6E68">
      <w:pPr>
        <w:spacing w:line="360" w:lineRule="auto"/>
      </w:pPr>
      <w:r>
        <w:rPr>
          <w:rFonts w:hint="eastAsia"/>
        </w:rPr>
        <w:t>若容器有效容积 &gt; 5 L：按每毫升有效容积 1.5 g 的金属球质量装填。</w:t>
      </w:r>
    </w:p>
    <w:p w14:paraId="77E449F8">
      <w:pPr>
        <w:spacing w:line="360" w:lineRule="auto"/>
      </w:pPr>
      <w:r>
        <w:rPr>
          <w:rFonts w:hint="eastAsia"/>
        </w:rPr>
        <w:t>采用常规起吊方式将试样抬离支撑面，保持至少 30 秒后，移除金属球，观察并记录试样的永久变形情况。</w:t>
      </w:r>
    </w:p>
    <w:p w14:paraId="0BF6A629">
      <w:pPr>
        <w:spacing w:line="360" w:lineRule="auto"/>
      </w:pPr>
    </w:p>
    <w:p w14:paraId="10511823">
      <w:pPr>
        <w:spacing w:line="360" w:lineRule="auto"/>
        <w:ind w:firstLine="420"/>
      </w:pPr>
      <w:r>
        <w:rPr>
          <w:rFonts w:hint="eastAsia"/>
        </w:rPr>
        <w:t>注：</w:t>
      </w:r>
      <w:r>
        <w:t>为便于操作，金属球可预先装入柔性塑料袋中再放入</w:t>
      </w:r>
      <w:r>
        <w:rPr>
          <w:rFonts w:hint="eastAsia"/>
        </w:rPr>
        <w:t>器皿</w:t>
      </w:r>
      <w:r>
        <w:t>。</w:t>
      </w:r>
      <w:r>
        <w:rPr>
          <w:rFonts w:hint="eastAsia"/>
        </w:rPr>
        <w:t>。</w:t>
      </w:r>
    </w:p>
    <w:p w14:paraId="1217B4C2">
      <w:pPr>
        <w:spacing w:line="360" w:lineRule="auto"/>
      </w:pPr>
    </w:p>
    <w:p w14:paraId="327E393D">
      <w:pPr>
        <w:spacing w:line="360" w:lineRule="auto"/>
        <w:jc w:val="center"/>
      </w:pPr>
    </w:p>
    <w:p w14:paraId="2F66ACEE">
      <w:pPr>
        <w:spacing w:line="360" w:lineRule="auto"/>
      </w:pPr>
    </w:p>
    <w:p w14:paraId="11050327">
      <w:pPr>
        <w:spacing w:line="360" w:lineRule="auto"/>
      </w:pPr>
    </w:p>
    <w:p w14:paraId="085696BC">
      <w:pPr>
        <w:spacing w:line="360" w:lineRule="auto"/>
      </w:pPr>
    </w:p>
    <w:p w14:paraId="7CE15A2C">
      <w:pPr>
        <w:spacing w:line="360" w:lineRule="auto"/>
      </w:pPr>
    </w:p>
    <w:p w14:paraId="6C4D4CCF">
      <w:pPr>
        <w:spacing w:line="360" w:lineRule="auto"/>
      </w:pPr>
    </w:p>
    <w:p w14:paraId="6C8880BB">
      <w:pPr>
        <w:spacing w:line="360" w:lineRule="auto"/>
      </w:pPr>
    </w:p>
    <w:p w14:paraId="4BBF768D">
      <w:pPr>
        <w:spacing w:line="360" w:lineRule="auto"/>
        <w:rPr>
          <w:b/>
        </w:rPr>
      </w:pPr>
      <w:r>
        <w:rPr>
          <w:rFonts w:hint="eastAsia"/>
        </w:rPr>
        <w:t xml:space="preserve">                                                       </w:t>
      </w:r>
    </w:p>
    <w:p w14:paraId="0B33D95D">
      <w:pPr>
        <w:spacing w:line="360" w:lineRule="auto"/>
        <w:jc w:val="center"/>
        <w:outlineLvl w:val="0"/>
        <w:rPr>
          <w:rFonts w:hint="eastAsia" w:ascii="黑体" w:hAnsi="黑体" w:eastAsia="黑体"/>
          <w:bCs/>
        </w:rPr>
        <w:sectPr>
          <w:pgSz w:w="11906" w:h="16838"/>
          <w:pgMar w:top="567" w:right="1134" w:bottom="1134" w:left="1134" w:header="1418" w:footer="1134" w:gutter="284"/>
          <w:cols w:space="425" w:num="1"/>
          <w:formProt w:val="0"/>
          <w:docGrid w:linePitch="312" w:charSpace="0"/>
        </w:sectPr>
      </w:pPr>
    </w:p>
    <w:p w14:paraId="5F268BF7">
      <w:pPr>
        <w:spacing w:line="360" w:lineRule="auto"/>
        <w:jc w:val="center"/>
        <w:rPr>
          <w:rFonts w:hint="eastAsia" w:ascii="黑体" w:hAnsi="黑体" w:eastAsia="黑体"/>
        </w:rPr>
      </w:pPr>
      <w:r>
        <w:rPr>
          <w:rFonts w:hint="eastAsia" w:ascii="黑体" w:hAnsi="黑体" w:eastAsia="黑体"/>
        </w:rPr>
        <w:t>附录H</w:t>
      </w:r>
    </w:p>
    <w:p w14:paraId="64D471FF">
      <w:pPr>
        <w:spacing w:line="360" w:lineRule="auto"/>
        <w:jc w:val="center"/>
        <w:rPr>
          <w:rFonts w:hint="eastAsia" w:ascii="黑体" w:hAnsi="黑体" w:eastAsia="黑体"/>
        </w:rPr>
      </w:pPr>
      <w:r>
        <w:rPr>
          <w:rFonts w:hint="eastAsia" w:ascii="黑体" w:hAnsi="黑体" w:eastAsia="黑体"/>
        </w:rPr>
        <w:t>（规范性）</w:t>
      </w:r>
    </w:p>
    <w:p w14:paraId="452639B9">
      <w:pPr>
        <w:spacing w:line="360" w:lineRule="auto"/>
        <w:jc w:val="center"/>
        <w:rPr>
          <w:rFonts w:hint="eastAsia" w:ascii="黑体" w:hAnsi="黑体" w:eastAsia="黑体"/>
        </w:rPr>
      </w:pPr>
      <w:r>
        <w:rPr>
          <w:rFonts w:hint="eastAsia" w:ascii="黑体" w:hAnsi="黑体" w:eastAsia="黑体"/>
        </w:rPr>
        <w:t>附件强度试验方法</w:t>
      </w:r>
    </w:p>
    <w:p w14:paraId="6681523C">
      <w:pPr>
        <w:spacing w:line="360" w:lineRule="auto"/>
      </w:pPr>
    </w:p>
    <w:p w14:paraId="0A3CB472">
      <w:pPr>
        <w:spacing w:line="360" w:lineRule="auto"/>
        <w:jc w:val="left"/>
        <w:rPr>
          <w:rFonts w:hint="eastAsia" w:ascii="黑体" w:hAnsi="黑体" w:eastAsia="黑体"/>
        </w:rPr>
      </w:pPr>
      <w:r>
        <w:rPr>
          <w:rFonts w:hint="eastAsia" w:ascii="黑体" w:hAnsi="黑体" w:eastAsia="黑体"/>
        </w:rPr>
        <w:t>H.1  原理</w:t>
      </w:r>
    </w:p>
    <w:p w14:paraId="55E33B6D">
      <w:pPr>
        <w:spacing w:line="360" w:lineRule="auto"/>
        <w:ind w:firstLine="420"/>
      </w:pPr>
      <w:r>
        <w:rPr>
          <w:rFonts w:hint="eastAsia"/>
        </w:rPr>
        <w:t>模拟样件的非正常使用情况，如检查坠落所引起的附件的折断、变形或脱离。</w:t>
      </w:r>
    </w:p>
    <w:p w14:paraId="096B9F6A">
      <w:pPr>
        <w:spacing w:line="360" w:lineRule="auto"/>
        <w:jc w:val="left"/>
        <w:rPr>
          <w:rFonts w:hint="eastAsia" w:ascii="黑体" w:hAnsi="黑体" w:eastAsia="黑体"/>
        </w:rPr>
      </w:pPr>
      <w:r>
        <w:rPr>
          <w:rFonts w:hint="eastAsia" w:ascii="黑体" w:hAnsi="黑体" w:eastAsia="黑体"/>
        </w:rPr>
        <w:t>H.2  试验装置</w:t>
      </w:r>
    </w:p>
    <w:p w14:paraId="00CF5EAF">
      <w:pPr>
        <w:spacing w:line="360" w:lineRule="auto"/>
      </w:pPr>
      <w:r>
        <w:rPr>
          <w:rFonts w:hint="eastAsia"/>
        </w:rPr>
        <w:t>H.2.1  负载  将质量为10kg</w:t>
      </w:r>
      <w:r>
        <w:rPr>
          <w:rFonts w:hint="eastAsia" w:ascii="宋体"/>
        </w:rPr>
        <w:t>±</w:t>
      </w:r>
      <w:r>
        <w:rPr>
          <w:rFonts w:hint="eastAsia"/>
        </w:rPr>
        <w:t>0.01kg的金属块，通过末端的环或夹具悬挂在绳索上。</w:t>
      </w:r>
    </w:p>
    <w:p w14:paraId="2E700364">
      <w:pPr>
        <w:spacing w:line="360" w:lineRule="auto"/>
        <w:jc w:val="left"/>
        <w:rPr>
          <w:rFonts w:hint="eastAsia" w:ascii="黑体" w:hAnsi="黑体" w:eastAsia="黑体"/>
        </w:rPr>
      </w:pPr>
      <w:r>
        <w:rPr>
          <w:rFonts w:hint="eastAsia" w:ascii="黑体" w:hAnsi="黑体" w:eastAsia="黑体"/>
        </w:rPr>
        <w:t>H.3  试验步骤</w:t>
      </w:r>
    </w:p>
    <w:p w14:paraId="1A3EE66D">
      <w:pPr>
        <w:spacing w:line="360" w:lineRule="auto"/>
      </w:pPr>
      <w:r>
        <w:rPr>
          <w:rFonts w:hint="eastAsia"/>
        </w:rPr>
        <w:t>H.3.1  用绳索缠绕或夹紧到被测样件的附件上，抬起样件使负载垂直向下悬挂在附件上。</w:t>
      </w:r>
    </w:p>
    <w:p w14:paraId="7A1AB36E">
      <w:pPr>
        <w:spacing w:line="360" w:lineRule="auto"/>
      </w:pPr>
      <w:r>
        <w:rPr>
          <w:rFonts w:hint="eastAsia"/>
        </w:rPr>
        <w:t>H.3.2   转动试验样本使负载的力传递到附件上的全部受力点上。记录附件上的断裂，变形或脱离。</w:t>
      </w:r>
    </w:p>
    <w:p w14:paraId="6D62849F">
      <w:pPr>
        <w:spacing w:line="360" w:lineRule="auto"/>
      </w:pPr>
    </w:p>
    <w:p w14:paraId="7786C184">
      <w:pPr>
        <w:spacing w:line="360" w:lineRule="auto"/>
      </w:pPr>
    </w:p>
    <w:p w14:paraId="07BAEB9A">
      <w:pPr>
        <w:spacing w:line="360" w:lineRule="auto"/>
      </w:pPr>
    </w:p>
    <w:p w14:paraId="28ED3628">
      <w:pPr>
        <w:spacing w:line="360" w:lineRule="auto"/>
      </w:pPr>
    </w:p>
    <w:p w14:paraId="2F4373C0">
      <w:pPr>
        <w:spacing w:line="360" w:lineRule="auto"/>
      </w:pPr>
    </w:p>
    <w:p w14:paraId="49BC50B6">
      <w:pPr>
        <w:spacing w:line="360" w:lineRule="auto"/>
      </w:pPr>
    </w:p>
    <w:p w14:paraId="5871264A">
      <w:pPr>
        <w:spacing w:line="360" w:lineRule="auto"/>
      </w:pPr>
    </w:p>
    <w:p w14:paraId="07D6CC5D">
      <w:pPr>
        <w:spacing w:line="360" w:lineRule="auto"/>
      </w:pPr>
    </w:p>
    <w:p w14:paraId="566AB957">
      <w:pPr>
        <w:spacing w:line="360" w:lineRule="auto"/>
      </w:pPr>
    </w:p>
    <w:p w14:paraId="5755293A">
      <w:pPr>
        <w:spacing w:line="360" w:lineRule="auto"/>
      </w:pPr>
    </w:p>
    <w:p w14:paraId="791B821D">
      <w:pPr>
        <w:spacing w:line="360" w:lineRule="auto"/>
      </w:pPr>
    </w:p>
    <w:p w14:paraId="2F5B8FE4">
      <w:pPr>
        <w:spacing w:line="360" w:lineRule="auto"/>
      </w:pPr>
    </w:p>
    <w:p w14:paraId="66ABF352">
      <w:pPr>
        <w:spacing w:line="360" w:lineRule="auto"/>
      </w:pPr>
    </w:p>
    <w:p w14:paraId="6DA2744B">
      <w:pPr>
        <w:spacing w:line="360" w:lineRule="auto"/>
      </w:pPr>
    </w:p>
    <w:p w14:paraId="0C54437B">
      <w:pPr>
        <w:spacing w:line="360" w:lineRule="auto"/>
      </w:pPr>
    </w:p>
    <w:p w14:paraId="17AD7E42">
      <w:pPr>
        <w:spacing w:line="360" w:lineRule="auto"/>
        <w:jc w:val="center"/>
        <w:outlineLvl w:val="0"/>
        <w:rPr>
          <w:rFonts w:hint="eastAsia" w:ascii="黑体" w:hAnsi="黑体" w:eastAsia="黑体"/>
          <w:bCs/>
        </w:rPr>
        <w:sectPr>
          <w:pgSz w:w="11906" w:h="16838"/>
          <w:pgMar w:top="567" w:right="1134" w:bottom="1134" w:left="1134" w:header="1418" w:footer="1134" w:gutter="284"/>
          <w:cols w:space="425" w:num="1"/>
          <w:formProt w:val="0"/>
          <w:docGrid w:linePitch="312" w:charSpace="0"/>
        </w:sectPr>
      </w:pPr>
    </w:p>
    <w:p w14:paraId="75D162C5">
      <w:pPr>
        <w:spacing w:line="360" w:lineRule="auto"/>
        <w:jc w:val="center"/>
        <w:outlineLvl w:val="0"/>
        <w:rPr>
          <w:rFonts w:hint="eastAsia" w:ascii="黑体" w:hAnsi="黑体" w:eastAsia="黑体"/>
          <w:bCs/>
        </w:rPr>
      </w:pPr>
      <w:r>
        <w:rPr>
          <w:rFonts w:hint="eastAsia" w:ascii="黑体" w:hAnsi="黑体" w:eastAsia="黑体"/>
          <w:bCs/>
        </w:rPr>
        <w:t>附录I</w:t>
      </w:r>
    </w:p>
    <w:p w14:paraId="7CC713A0">
      <w:pPr>
        <w:spacing w:line="360" w:lineRule="auto"/>
        <w:jc w:val="center"/>
        <w:outlineLvl w:val="0"/>
        <w:rPr>
          <w:rFonts w:hint="eastAsia" w:ascii="黑体" w:hAnsi="黑体" w:eastAsia="黑体"/>
          <w:bCs/>
        </w:rPr>
      </w:pPr>
      <w:r>
        <w:rPr>
          <w:rFonts w:hint="eastAsia" w:ascii="黑体" w:hAnsi="黑体" w:eastAsia="黑体"/>
          <w:bCs/>
        </w:rPr>
        <w:t>（规范性）</w:t>
      </w:r>
    </w:p>
    <w:p w14:paraId="7C48EF43">
      <w:pPr>
        <w:spacing w:line="360" w:lineRule="auto"/>
        <w:jc w:val="center"/>
        <w:outlineLvl w:val="0"/>
        <w:rPr>
          <w:rFonts w:hint="eastAsia" w:ascii="黑体" w:hAnsi="黑体" w:eastAsia="黑体"/>
          <w:bCs/>
        </w:rPr>
      </w:pPr>
    </w:p>
    <w:p w14:paraId="150FCD36">
      <w:pPr>
        <w:spacing w:line="360" w:lineRule="auto"/>
        <w:jc w:val="center"/>
        <w:rPr>
          <w:rFonts w:hint="eastAsia" w:ascii="黑体" w:hAnsi="黑体" w:eastAsia="黑体"/>
        </w:rPr>
      </w:pPr>
      <w:r>
        <w:rPr>
          <w:rFonts w:hint="eastAsia" w:ascii="黑体" w:hAnsi="黑体" w:eastAsia="黑体"/>
        </w:rPr>
        <w:t>倒水试验方法</w:t>
      </w:r>
    </w:p>
    <w:p w14:paraId="1A404B70">
      <w:pPr>
        <w:spacing w:line="360" w:lineRule="auto"/>
      </w:pPr>
    </w:p>
    <w:p w14:paraId="2F9AD1B8">
      <w:pPr>
        <w:spacing w:line="360" w:lineRule="auto"/>
        <w:jc w:val="left"/>
        <w:rPr>
          <w:rFonts w:hint="eastAsia" w:ascii="黑体" w:hAnsi="黑体" w:eastAsia="黑体"/>
        </w:rPr>
      </w:pPr>
      <w:r>
        <w:rPr>
          <w:rFonts w:hint="eastAsia" w:ascii="黑体" w:hAnsi="黑体" w:eastAsia="黑体"/>
          <w:bCs/>
        </w:rPr>
        <w:t>I</w:t>
      </w:r>
      <w:r>
        <w:rPr>
          <w:rFonts w:hint="eastAsia" w:ascii="黑体" w:hAnsi="黑体" w:eastAsia="黑体"/>
        </w:rPr>
        <w:t>.1  原理</w:t>
      </w:r>
    </w:p>
    <w:p w14:paraId="616C4500">
      <w:pPr>
        <w:spacing w:line="360" w:lineRule="auto"/>
        <w:ind w:firstLine="420"/>
      </w:pPr>
      <w:r>
        <w:rPr>
          <w:rFonts w:hint="eastAsia"/>
        </w:rPr>
        <w:t>将水注入到样件的有效容量，以一定的速率倾斜样件，检查样件的出水性能。</w:t>
      </w:r>
    </w:p>
    <w:p w14:paraId="11A003F1">
      <w:pPr>
        <w:spacing w:line="360" w:lineRule="auto"/>
        <w:ind w:firstLine="420"/>
      </w:pPr>
      <w:r>
        <w:rPr>
          <w:rFonts w:hint="eastAsia"/>
        </w:rPr>
        <w:t>注：清洗过程中残留的洗涤剂会导致液体滴漏，任何使用洗涤剂清洗过的容器在测试前，必须先用去离子水彻底冲洗不少于五次。</w:t>
      </w:r>
    </w:p>
    <w:p w14:paraId="42C40074">
      <w:pPr>
        <w:spacing w:line="360" w:lineRule="auto"/>
        <w:jc w:val="left"/>
        <w:rPr>
          <w:rFonts w:hint="eastAsia" w:ascii="黑体" w:hAnsi="黑体" w:eastAsia="黑体"/>
        </w:rPr>
      </w:pPr>
      <w:r>
        <w:rPr>
          <w:rFonts w:hint="eastAsia" w:ascii="黑体" w:hAnsi="黑体" w:eastAsia="黑体"/>
          <w:bCs/>
        </w:rPr>
        <w:t>I</w:t>
      </w:r>
      <w:r>
        <w:rPr>
          <w:rFonts w:hint="eastAsia" w:ascii="黑体" w:hAnsi="黑体" w:eastAsia="黑体"/>
        </w:rPr>
        <w:t>.2  试验装置</w:t>
      </w:r>
    </w:p>
    <w:p w14:paraId="74523C0D">
      <w:pPr>
        <w:spacing w:line="360" w:lineRule="auto"/>
      </w:pPr>
      <w:r>
        <w:rPr>
          <w:rFonts w:hint="eastAsia" w:ascii="黑体" w:hAnsi="黑体" w:eastAsia="黑体"/>
          <w:bCs/>
        </w:rPr>
        <w:t>I</w:t>
      </w:r>
      <w:r>
        <w:rPr>
          <w:rFonts w:hint="eastAsia"/>
        </w:rPr>
        <w:t>.2.1  可倾斜平台  可实现以每分钟5</w:t>
      </w:r>
      <w:r>
        <w:rPr>
          <w:rFonts w:hint="eastAsia" w:ascii="宋体"/>
        </w:rPr>
        <w:t>°±</w:t>
      </w:r>
      <w:r>
        <w:rPr>
          <w:rFonts w:hint="eastAsia"/>
        </w:rPr>
        <w:t>1</w:t>
      </w:r>
      <w:r>
        <w:rPr>
          <w:rFonts w:hint="eastAsia" w:ascii="宋体"/>
        </w:rPr>
        <w:t>°</w:t>
      </w:r>
      <w:r>
        <w:rPr>
          <w:rFonts w:hint="eastAsia"/>
        </w:rPr>
        <w:t>的速率倾斜，最大可达到70</w:t>
      </w:r>
      <w:r>
        <w:rPr>
          <w:rFonts w:hint="eastAsia" w:ascii="宋体"/>
        </w:rPr>
        <w:t>°</w:t>
      </w:r>
      <w:r>
        <w:rPr>
          <w:rFonts w:hint="eastAsia"/>
        </w:rPr>
        <w:t>的板台。</w:t>
      </w:r>
    </w:p>
    <w:p w14:paraId="11D6BDBB">
      <w:pPr>
        <w:spacing w:line="360" w:lineRule="auto"/>
        <w:jc w:val="left"/>
        <w:rPr>
          <w:rFonts w:hint="eastAsia" w:ascii="黑体" w:hAnsi="黑体" w:eastAsia="黑体"/>
        </w:rPr>
      </w:pPr>
      <w:r>
        <w:rPr>
          <w:rFonts w:hint="eastAsia" w:ascii="黑体" w:hAnsi="黑体" w:eastAsia="黑体"/>
          <w:bCs/>
        </w:rPr>
        <w:t>I</w:t>
      </w:r>
      <w:r>
        <w:rPr>
          <w:rFonts w:hint="eastAsia" w:ascii="黑体" w:hAnsi="黑体" w:eastAsia="黑体"/>
        </w:rPr>
        <w:t>.3  试验步骤</w:t>
      </w:r>
    </w:p>
    <w:p w14:paraId="76395DE9">
      <w:pPr>
        <w:spacing w:line="360" w:lineRule="auto"/>
        <w:rPr>
          <w:rFonts w:ascii="宋体"/>
        </w:rPr>
      </w:pPr>
      <w:r>
        <w:rPr>
          <w:rFonts w:hint="eastAsia" w:ascii="黑体" w:hAnsi="黑体" w:eastAsia="黑体"/>
          <w:bCs/>
        </w:rPr>
        <w:t>I</w:t>
      </w:r>
      <w:r>
        <w:rPr>
          <w:rFonts w:hint="eastAsia"/>
        </w:rPr>
        <w:t>.3.1  试验时板台先调到水平位置上，将试验样本向上放在上面（适当地固定，如用一大橡胶条），并注入20</w:t>
      </w:r>
      <w:r>
        <w:rPr>
          <w:rFonts w:hint="eastAsia" w:ascii="宋体"/>
        </w:rPr>
        <w:t>℃±5℃的去离子水到其边口下缘15mm±1mm处，以每分钟5°±1°的速度倾斜板台，以使水仅从口部流出，直到板台与水平面成10°±1°。记录出水情况。以同样速率将样本倾斜回到水平位置，并记录试验样本是否出现滴落现象。</w:t>
      </w:r>
    </w:p>
    <w:p w14:paraId="11D4AF94">
      <w:pPr>
        <w:spacing w:line="360" w:lineRule="auto"/>
        <w:ind w:firstLine="420"/>
        <w:rPr>
          <w:rFonts w:ascii="宋体"/>
        </w:rPr>
      </w:pPr>
      <w:r>
        <w:rPr>
          <w:rFonts w:hint="eastAsia" w:ascii="宋体"/>
        </w:rPr>
        <w:t>注：如在此试验中，水从器皿的边缘溢出，则应逐渐减少倾斜角度直至不再发生溢流。</w:t>
      </w:r>
    </w:p>
    <w:p w14:paraId="27608507">
      <w:pPr>
        <w:spacing w:line="360" w:lineRule="auto"/>
      </w:pPr>
      <w:r>
        <w:rPr>
          <w:rFonts w:hint="eastAsia" w:ascii="黑体" w:hAnsi="黑体" w:eastAsia="黑体"/>
          <w:bCs/>
        </w:rPr>
        <w:t>I</w:t>
      </w:r>
      <w:r>
        <w:rPr>
          <w:rFonts w:hint="eastAsia"/>
        </w:rPr>
        <w:t>.3.2  重复</w:t>
      </w:r>
      <w:r>
        <w:rPr>
          <w:rFonts w:hint="eastAsia" w:ascii="黑体" w:hAnsi="黑体" w:eastAsia="黑体"/>
          <w:bCs/>
        </w:rPr>
        <w:t>I</w:t>
      </w:r>
      <w:r>
        <w:rPr>
          <w:rFonts w:hint="eastAsia"/>
        </w:rPr>
        <w:t>.3.1中所述步骤，倾斜角度每次递增10</w:t>
      </w:r>
      <w:r>
        <w:rPr>
          <w:rFonts w:hint="eastAsia" w:ascii="宋体"/>
        </w:rPr>
        <w:t>°±</w:t>
      </w:r>
      <w:r>
        <w:rPr>
          <w:rFonts w:hint="eastAsia"/>
        </w:rPr>
        <w:t>1</w:t>
      </w:r>
      <w:r>
        <w:rPr>
          <w:rFonts w:hint="eastAsia" w:ascii="宋体"/>
        </w:rPr>
        <w:t>°进行试验，直到</w:t>
      </w:r>
      <w:r>
        <w:rPr>
          <w:rFonts w:hint="eastAsia"/>
        </w:rPr>
        <w:t>最大值70</w:t>
      </w:r>
      <w:r>
        <w:rPr>
          <w:rFonts w:hint="eastAsia" w:ascii="宋体"/>
        </w:rPr>
        <w:t>°</w:t>
      </w:r>
      <w:r>
        <w:rPr>
          <w:rFonts w:hint="eastAsia"/>
        </w:rPr>
        <w:t>。</w:t>
      </w:r>
    </w:p>
    <w:p w14:paraId="3CDC233A">
      <w:pPr>
        <w:spacing w:line="360" w:lineRule="auto"/>
      </w:pPr>
    </w:p>
    <w:p w14:paraId="64403F0F">
      <w:pPr>
        <w:spacing w:line="360" w:lineRule="auto"/>
        <w:jc w:val="center"/>
      </w:pPr>
    </w:p>
    <w:p w14:paraId="0FC01E3C">
      <w:pPr>
        <w:spacing w:line="360" w:lineRule="auto"/>
        <w:jc w:val="center"/>
      </w:pPr>
    </w:p>
    <w:p w14:paraId="585499F8">
      <w:pPr>
        <w:spacing w:line="360" w:lineRule="auto"/>
        <w:rPr>
          <w:rFonts w:ascii="宋体"/>
        </w:rPr>
      </w:pPr>
    </w:p>
    <w:p w14:paraId="40A3A572">
      <w:pPr>
        <w:spacing w:line="360" w:lineRule="auto"/>
        <w:rPr>
          <w:rFonts w:ascii="宋体"/>
        </w:rPr>
      </w:pPr>
    </w:p>
    <w:p w14:paraId="610EE4E6">
      <w:pPr>
        <w:spacing w:line="360" w:lineRule="auto"/>
        <w:rPr>
          <w:rFonts w:ascii="宋体"/>
        </w:rPr>
      </w:pPr>
    </w:p>
    <w:p w14:paraId="13702745">
      <w:pPr>
        <w:spacing w:line="360" w:lineRule="auto"/>
        <w:rPr>
          <w:rFonts w:ascii="宋体"/>
        </w:rPr>
      </w:pPr>
    </w:p>
    <w:p w14:paraId="509F4221">
      <w:pPr>
        <w:spacing w:line="360" w:lineRule="auto"/>
        <w:rPr>
          <w:rFonts w:ascii="宋体"/>
        </w:rPr>
      </w:pPr>
    </w:p>
    <w:p w14:paraId="08B8D172">
      <w:pPr>
        <w:spacing w:line="360" w:lineRule="auto"/>
        <w:rPr>
          <w:rFonts w:ascii="宋体"/>
        </w:rPr>
      </w:pPr>
    </w:p>
    <w:p w14:paraId="3547B3A5">
      <w:pPr>
        <w:spacing w:line="360" w:lineRule="auto"/>
        <w:rPr>
          <w:rFonts w:ascii="宋体"/>
        </w:rPr>
      </w:pPr>
    </w:p>
    <w:p w14:paraId="1AC38162">
      <w:pPr>
        <w:spacing w:line="360" w:lineRule="auto"/>
        <w:rPr>
          <w:rFonts w:ascii="宋体"/>
        </w:rPr>
      </w:pPr>
    </w:p>
    <w:p w14:paraId="5947482B">
      <w:pPr>
        <w:spacing w:line="360" w:lineRule="auto"/>
        <w:jc w:val="center"/>
        <w:rPr>
          <w:rFonts w:hint="eastAsia" w:ascii="黑体" w:hAnsi="黑体" w:eastAsia="黑体"/>
          <w:bCs/>
        </w:rPr>
        <w:sectPr>
          <w:pgSz w:w="11906" w:h="16838"/>
          <w:pgMar w:top="567" w:right="1134" w:bottom="1134" w:left="1134" w:header="1418" w:footer="1134" w:gutter="284"/>
          <w:cols w:space="425" w:num="1"/>
          <w:formProt w:val="0"/>
          <w:docGrid w:linePitch="312" w:charSpace="0"/>
        </w:sectPr>
      </w:pPr>
    </w:p>
    <w:p w14:paraId="1EA882F9">
      <w:pPr>
        <w:spacing w:line="360" w:lineRule="auto"/>
        <w:jc w:val="center"/>
        <w:rPr>
          <w:rFonts w:hint="eastAsia" w:ascii="黑体" w:hAnsi="黑体" w:eastAsia="黑体"/>
          <w:bCs/>
        </w:rPr>
      </w:pPr>
      <w:r>
        <w:rPr>
          <w:rFonts w:hint="eastAsia" w:ascii="黑体" w:hAnsi="黑体" w:eastAsia="黑体"/>
          <w:bCs/>
        </w:rPr>
        <w:t>附录J</w:t>
      </w:r>
    </w:p>
    <w:p w14:paraId="41B54CC5">
      <w:pPr>
        <w:spacing w:line="360" w:lineRule="auto"/>
        <w:jc w:val="center"/>
        <w:rPr>
          <w:rFonts w:hint="eastAsia" w:ascii="黑体" w:hAnsi="黑体" w:eastAsia="黑体"/>
          <w:bCs/>
        </w:rPr>
      </w:pPr>
      <w:r>
        <w:rPr>
          <w:rFonts w:hint="eastAsia" w:ascii="黑体" w:hAnsi="黑体" w:eastAsia="黑体"/>
          <w:bCs/>
        </w:rPr>
        <w:t>（资料性）</w:t>
      </w:r>
    </w:p>
    <w:p w14:paraId="634EF1E3">
      <w:pPr>
        <w:spacing w:line="360" w:lineRule="auto"/>
        <w:jc w:val="center"/>
        <w:rPr>
          <w:rFonts w:hint="eastAsia" w:ascii="黑体" w:hAnsi="黑体" w:eastAsia="黑体"/>
          <w:bCs/>
        </w:rPr>
      </w:pPr>
      <w:r>
        <w:rPr>
          <w:rFonts w:hint="eastAsia" w:ascii="黑体" w:hAnsi="黑体" w:eastAsia="黑体"/>
          <w:bCs/>
        </w:rPr>
        <w:t>A类偏差</w:t>
      </w:r>
    </w:p>
    <w:p w14:paraId="66A286E0">
      <w:pPr>
        <w:spacing w:line="360" w:lineRule="auto"/>
        <w:jc w:val="left"/>
        <w:rPr>
          <w:rFonts w:ascii="宋体"/>
        </w:rPr>
      </w:pPr>
    </w:p>
    <w:p w14:paraId="041D316B">
      <w:pPr>
        <w:spacing w:line="360" w:lineRule="auto"/>
        <w:ind w:firstLine="420" w:firstLineChars="200"/>
        <w:jc w:val="left"/>
        <w:rPr>
          <w:rFonts w:ascii="宋体"/>
        </w:rPr>
      </w:pPr>
      <w:r>
        <w:rPr>
          <w:rFonts w:hint="eastAsia" w:ascii="宋体"/>
        </w:rPr>
        <w:t>A类偏差：因法规导致的国家偏差，此类法规的修改目前超出欧洲标准化委员会 / 欧洲电工标准化委员会（CEN/CENELEC）成员的权限范围。</w:t>
      </w:r>
    </w:p>
    <w:p w14:paraId="6EFD9AE1">
      <w:pPr>
        <w:spacing w:line="360" w:lineRule="auto"/>
        <w:ind w:firstLine="420" w:firstLineChars="200"/>
        <w:jc w:val="left"/>
        <w:rPr>
          <w:rFonts w:ascii="宋体"/>
        </w:rPr>
      </w:pPr>
      <w:r>
        <w:rPr>
          <w:rFonts w:hint="eastAsia" w:ascii="宋体"/>
        </w:rPr>
        <w:t>本欧洲标准不受欧盟任何指令约束。在相关 CEN/CENELEC 成员国中，这些 A 类偏差在被移除前，优先于欧洲标准的条款生效。</w:t>
      </w:r>
    </w:p>
    <w:p w14:paraId="122B8EBF">
      <w:pPr>
        <w:spacing w:line="360" w:lineRule="auto"/>
        <w:jc w:val="center"/>
        <w:rPr>
          <w:rFonts w:ascii="宋体"/>
        </w:rPr>
      </w:pPr>
    </w:p>
    <w:p w14:paraId="2C0FE32B">
      <w:pPr>
        <w:spacing w:line="360" w:lineRule="auto"/>
        <w:jc w:val="left"/>
        <w:rPr>
          <w:rFonts w:ascii="宋体"/>
        </w:rPr>
      </w:pPr>
      <w:r>
        <w:rPr>
          <w:rFonts w:hint="eastAsia" w:ascii="宋体"/>
        </w:rPr>
        <w:t>条款            偏差内容</w:t>
      </w:r>
    </w:p>
    <w:p w14:paraId="788AC1C8">
      <w:pPr>
        <w:spacing w:line="360" w:lineRule="auto"/>
        <w:rPr>
          <w:rFonts w:ascii="宋体"/>
        </w:rPr>
      </w:pPr>
      <w:r>
        <w:rPr>
          <w:rFonts w:hint="eastAsia" w:ascii="宋体"/>
        </w:rPr>
        <w:t>表 1            法国 1976 年 1 月 13 日关于与食品接触的不锈钢材料及制品的法令：第 2 条</w:t>
      </w:r>
    </w:p>
    <w:p w14:paraId="7E391BB3">
      <w:pPr>
        <w:spacing w:line="360" w:lineRule="auto"/>
        <w:rPr>
          <w:rFonts w:ascii="宋体"/>
        </w:rPr>
      </w:pPr>
    </w:p>
    <w:p w14:paraId="6FE8A094">
      <w:pPr>
        <w:spacing w:line="360" w:lineRule="auto"/>
        <w:rPr>
          <w:rFonts w:ascii="宋体"/>
        </w:rPr>
      </w:pPr>
      <w:r>
        <w:rPr>
          <w:rFonts w:hint="eastAsia" w:ascii="宋体"/>
        </w:rPr>
        <w:t>若 EN 10088-1:2005 中规定的最低铬含量低于 13.00%，则替换为 “最低 13.00% 铬”</w:t>
      </w:r>
    </w:p>
    <w:p w14:paraId="4A654606">
      <w:pPr>
        <w:spacing w:line="360" w:lineRule="auto"/>
        <w:jc w:val="center"/>
        <w:rPr>
          <w:rFonts w:ascii="宋体"/>
        </w:rPr>
      </w:pPr>
    </w:p>
    <w:p w14:paraId="2A3C428D">
      <w:pPr>
        <w:spacing w:line="360" w:lineRule="auto"/>
        <w:jc w:val="center"/>
        <w:rPr>
          <w:rFonts w:ascii="宋体"/>
        </w:rPr>
      </w:pPr>
    </w:p>
    <w:p w14:paraId="64D1E40D">
      <w:pPr>
        <w:spacing w:line="360" w:lineRule="auto"/>
        <w:jc w:val="center"/>
        <w:rPr>
          <w:rFonts w:ascii="宋体"/>
        </w:rPr>
      </w:pPr>
    </w:p>
    <w:p w14:paraId="6326B5D7">
      <w:pPr>
        <w:spacing w:line="360" w:lineRule="auto"/>
        <w:jc w:val="center"/>
        <w:rPr>
          <w:rFonts w:ascii="宋体"/>
        </w:rPr>
      </w:pPr>
    </w:p>
    <w:p w14:paraId="5F1AE141">
      <w:pPr>
        <w:spacing w:line="360" w:lineRule="auto"/>
        <w:jc w:val="center"/>
        <w:rPr>
          <w:rFonts w:ascii="宋体"/>
        </w:rPr>
      </w:pPr>
    </w:p>
    <w:p w14:paraId="254066E3">
      <w:pPr>
        <w:spacing w:line="360" w:lineRule="auto"/>
        <w:jc w:val="center"/>
        <w:rPr>
          <w:rFonts w:ascii="宋体"/>
        </w:rPr>
      </w:pPr>
    </w:p>
    <w:p w14:paraId="32B7D800">
      <w:pPr>
        <w:spacing w:line="360" w:lineRule="auto"/>
        <w:jc w:val="center"/>
        <w:rPr>
          <w:rFonts w:ascii="宋体"/>
        </w:rPr>
      </w:pPr>
    </w:p>
    <w:p w14:paraId="51E6410E">
      <w:pPr>
        <w:spacing w:line="360" w:lineRule="auto"/>
        <w:jc w:val="center"/>
        <w:rPr>
          <w:rFonts w:ascii="宋体"/>
        </w:rPr>
      </w:pPr>
    </w:p>
    <w:p w14:paraId="095A93C0">
      <w:pPr>
        <w:spacing w:line="360" w:lineRule="auto"/>
        <w:jc w:val="center"/>
        <w:rPr>
          <w:rFonts w:ascii="宋体"/>
        </w:rPr>
      </w:pPr>
    </w:p>
    <w:p w14:paraId="72E2E22C">
      <w:pPr>
        <w:spacing w:line="360" w:lineRule="auto"/>
        <w:jc w:val="center"/>
        <w:rPr>
          <w:rFonts w:ascii="宋体"/>
        </w:rPr>
      </w:pPr>
    </w:p>
    <w:p w14:paraId="050B9F62">
      <w:pPr>
        <w:spacing w:line="360" w:lineRule="auto"/>
        <w:jc w:val="center"/>
        <w:rPr>
          <w:rFonts w:ascii="宋体"/>
        </w:rPr>
      </w:pPr>
    </w:p>
    <w:p w14:paraId="29EE2D92">
      <w:pPr>
        <w:spacing w:line="360" w:lineRule="auto"/>
        <w:jc w:val="center"/>
        <w:rPr>
          <w:rFonts w:ascii="宋体"/>
        </w:rPr>
      </w:pPr>
    </w:p>
    <w:p w14:paraId="31571202">
      <w:pPr>
        <w:spacing w:line="360" w:lineRule="auto"/>
        <w:jc w:val="center"/>
        <w:rPr>
          <w:rFonts w:ascii="宋体"/>
        </w:rPr>
      </w:pPr>
    </w:p>
    <w:p w14:paraId="745A93A4">
      <w:pPr>
        <w:spacing w:line="360" w:lineRule="auto"/>
        <w:jc w:val="center"/>
        <w:rPr>
          <w:rFonts w:ascii="宋体"/>
        </w:rPr>
      </w:pPr>
    </w:p>
    <w:p w14:paraId="51DEEE44">
      <w:pPr>
        <w:spacing w:line="360" w:lineRule="auto"/>
        <w:jc w:val="center"/>
        <w:rPr>
          <w:rFonts w:ascii="宋体"/>
        </w:rPr>
      </w:pPr>
    </w:p>
    <w:p w14:paraId="706791EC">
      <w:pPr>
        <w:spacing w:line="360" w:lineRule="auto"/>
        <w:jc w:val="center"/>
        <w:rPr>
          <w:rFonts w:ascii="宋体"/>
        </w:rPr>
      </w:pPr>
    </w:p>
    <w:p w14:paraId="5056082A">
      <w:pPr>
        <w:spacing w:line="360" w:lineRule="auto"/>
        <w:jc w:val="center"/>
        <w:rPr>
          <w:rFonts w:ascii="宋体"/>
        </w:rPr>
      </w:pPr>
    </w:p>
    <w:p w14:paraId="0F840FCC">
      <w:pPr>
        <w:spacing w:line="360" w:lineRule="auto"/>
        <w:jc w:val="center"/>
        <w:rPr>
          <w:rFonts w:ascii="宋体"/>
        </w:rPr>
      </w:pPr>
    </w:p>
    <w:p w14:paraId="585EC519">
      <w:pPr>
        <w:spacing w:line="360" w:lineRule="auto"/>
        <w:jc w:val="center"/>
        <w:rPr>
          <w:rFonts w:ascii="宋体"/>
        </w:rPr>
      </w:pPr>
    </w:p>
    <w:p w14:paraId="46BC2E91">
      <w:pPr>
        <w:spacing w:line="360" w:lineRule="auto"/>
        <w:jc w:val="center"/>
        <w:rPr>
          <w:rFonts w:ascii="宋体"/>
        </w:rPr>
      </w:pPr>
    </w:p>
    <w:p w14:paraId="3C534C63">
      <w:pPr>
        <w:spacing w:line="360" w:lineRule="auto"/>
        <w:jc w:val="center"/>
        <w:rPr>
          <w:rFonts w:ascii="宋体"/>
        </w:rPr>
      </w:pPr>
    </w:p>
    <w:p w14:paraId="2299D9C8">
      <w:pPr>
        <w:spacing w:line="360" w:lineRule="auto"/>
        <w:jc w:val="center"/>
        <w:rPr>
          <w:rFonts w:ascii="宋体"/>
        </w:rPr>
        <w:sectPr>
          <w:pgSz w:w="11906" w:h="16838"/>
          <w:pgMar w:top="567" w:right="1134" w:bottom="1134" w:left="1134" w:header="1418" w:footer="1134" w:gutter="284"/>
          <w:cols w:space="425" w:num="1"/>
          <w:formProt w:val="0"/>
          <w:docGrid w:linePitch="312" w:charSpace="0"/>
        </w:sectPr>
      </w:pPr>
    </w:p>
    <w:p w14:paraId="7B8448AF">
      <w:pPr>
        <w:spacing w:line="360" w:lineRule="auto"/>
        <w:jc w:val="center"/>
        <w:rPr>
          <w:rFonts w:hint="eastAsia" w:ascii="黑体" w:hAnsi="黑体" w:eastAsia="黑体"/>
          <w:bCs/>
        </w:rPr>
      </w:pPr>
      <w:r>
        <w:rPr>
          <w:rFonts w:hint="eastAsia" w:ascii="黑体" w:hAnsi="黑体" w:eastAsia="黑体"/>
          <w:bCs/>
        </w:rPr>
        <w:t>参考文献</w:t>
      </w:r>
    </w:p>
    <w:p w14:paraId="1CE569E0">
      <w:pPr>
        <w:spacing w:line="360" w:lineRule="auto"/>
        <w:rPr>
          <w:rFonts w:ascii="宋体"/>
        </w:rPr>
      </w:pPr>
    </w:p>
    <w:p w14:paraId="281B6A01">
      <w:pPr>
        <w:spacing w:line="360" w:lineRule="auto"/>
        <w:rPr>
          <w:rFonts w:ascii="宋体"/>
        </w:rPr>
      </w:pPr>
      <w:r>
        <w:rPr>
          <w:rFonts w:hint="eastAsia" w:ascii="宋体"/>
        </w:rPr>
        <w:t>标准</w:t>
      </w:r>
    </w:p>
    <w:p w14:paraId="3EBE619C">
      <w:pPr>
        <w:spacing w:line="360" w:lineRule="auto"/>
        <w:rPr>
          <w:rFonts w:ascii="宋体"/>
        </w:rPr>
      </w:pPr>
      <w:r>
        <w:rPr>
          <w:rFonts w:ascii="宋体"/>
        </w:rPr>
        <w:t>DIN 61206: 1976</w:t>
      </w:r>
      <w:r>
        <w:rPr>
          <w:rFonts w:hint="eastAsia" w:ascii="宋体"/>
        </w:rPr>
        <w:t xml:space="preserve">        工业用块状压制羊毛毡</w:t>
      </w:r>
    </w:p>
    <w:p w14:paraId="28B36ED2">
      <w:pPr>
        <w:spacing w:line="360" w:lineRule="auto"/>
        <w:rPr>
          <w:rFonts w:ascii="宋体"/>
        </w:rPr>
      </w:pPr>
      <w:r>
        <w:rPr>
          <w:rFonts w:hint="eastAsia" w:ascii="宋体"/>
        </w:rPr>
        <w:t>欧共体指令</w:t>
      </w:r>
    </w:p>
    <w:p w14:paraId="06AF3D44">
      <w:pPr>
        <w:spacing w:line="360" w:lineRule="auto"/>
        <w:rPr>
          <w:rFonts w:ascii="宋体"/>
        </w:rPr>
      </w:pPr>
      <w:r>
        <w:rPr>
          <w:rFonts w:ascii="宋体"/>
        </w:rPr>
        <w:t>EC 89/109</w:t>
      </w:r>
    </w:p>
    <w:p w14:paraId="0BCE1E6A">
      <w:pPr>
        <w:spacing w:line="360" w:lineRule="auto"/>
        <w:rPr>
          <w:rFonts w:ascii="宋体"/>
        </w:rPr>
      </w:pPr>
      <w:r>
        <w:rPr>
          <w:rFonts w:hint="eastAsia" w:ascii="宋体"/>
        </w:rPr>
        <w:t>1988 年 12 月 21 日发布，载于《欧共体官方公报》1989 年第 L 40/38 号第 38 页，关于协调各成员国与食品接触材料和器具相关法律程序的理事会指令。</w:t>
      </w:r>
    </w:p>
    <w:p w14:paraId="7D7191A2">
      <w:pPr>
        <w:spacing w:line="360" w:lineRule="auto"/>
        <w:rPr>
          <w:rFonts w:ascii="宋体"/>
        </w:rPr>
      </w:pPr>
      <w:r>
        <w:rPr>
          <w:rFonts w:ascii="宋体"/>
        </w:rPr>
        <w:t>EC 90/128</w:t>
      </w:r>
    </w:p>
    <w:p w14:paraId="08ECFED9">
      <w:pPr>
        <w:spacing w:line="360" w:lineRule="auto"/>
        <w:rPr>
          <w:rFonts w:ascii="宋体"/>
        </w:rPr>
      </w:pPr>
      <w:r>
        <w:rPr>
          <w:rFonts w:hint="eastAsia" w:ascii="宋体"/>
        </w:rPr>
        <w:t>1990 年 2 月 23 日委员会指令，涉及拟与食品接触的塑料材料及制品，载于《官方公报》1990 年 3 月 21 日第 L75 号第 19 页；勘误表载于 1990 年 12 月 13 日第 L349 号第 26 页。</w:t>
      </w:r>
      <w:bookmarkEnd w:id="22"/>
      <w:bookmarkEnd w:id="23"/>
    </w:p>
    <w:sectPr>
      <w:pgSz w:w="11906" w:h="16838"/>
      <w:pgMar w:top="567"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BF9C33">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8CF92">
    <w:pPr>
      <w:pStyle w:val="19"/>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3D5FB4">
    <w:pPr>
      <w:pStyle w:val="19"/>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BFCE5">
    <w:pPr>
      <w:pStyle w:val="54"/>
    </w:pPr>
    <w:r>
      <w:fldChar w:fldCharType="begin"/>
    </w:r>
    <w:r>
      <w:instrText xml:space="preserve">PAGE   \* MERGEFORMAT</w:instrText>
    </w:r>
    <w:r>
      <w:fldChar w:fldCharType="separate"/>
    </w:r>
    <w:r>
      <w:rPr>
        <w:lang w:val="zh-CN"/>
      </w:rPr>
      <w:t>24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4CAE4">
    <w:pPr>
      <w:pStyle w:val="20"/>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63C22">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6B2CD">
    <w:pPr>
      <w:pStyle w:val="20"/>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92A84">
    <w:pPr>
      <w:pStyle w:val="63"/>
      <w:spacing w:after="0"/>
      <w:rPr>
        <w:rFonts w:hint="eastAsia"/>
      </w:rPr>
    </w:pPr>
    <w:r>
      <w:fldChar w:fldCharType="begin"/>
    </w:r>
    <w:r>
      <w:instrText xml:space="preserve"> STYLEREF  标准文件_文件编号  \* MERGEFORMAT </w:instrText>
    </w:r>
    <w:r>
      <w:fldChar w:fldCharType="separate"/>
    </w:r>
    <w:r>
      <w:t>GB/T XXXXX—XXXX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8638A">
    <w:pPr>
      <w:pStyle w:val="20"/>
      <w:jc w:val="right"/>
    </w:pPr>
    <w:r>
      <w:fldChar w:fldCharType="begin"/>
    </w:r>
    <w:r>
      <w:instrText xml:space="preserve"> STYLEREF  标准文件_文件编号  \* MERGEFORMAT </w:instrText>
    </w:r>
    <w:r>
      <w:fldChar w:fldCharType="separate"/>
    </w:r>
    <w:r>
      <w:t>GB/T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3E657410"/>
    <w:multiLevelType w:val="multilevel"/>
    <w:tmpl w:val="3E657410"/>
    <w:lvl w:ilvl="0" w:tentative="0">
      <w:start w:val="3"/>
      <w:numFmt w:val="decimal"/>
      <w:lvlText w:val="%1"/>
      <w:lvlJc w:val="left"/>
      <w:pPr>
        <w:ind w:left="440" w:hanging="440"/>
      </w:pPr>
      <w:rPr>
        <w:rFonts w:hint="default"/>
      </w:rPr>
    </w:lvl>
    <w:lvl w:ilvl="1" w:tentative="0">
      <w:start w:val="12"/>
      <w:numFmt w:val="decimal"/>
      <w:lvlText w:val="%1.%2"/>
      <w:lvlJc w:val="left"/>
      <w:pPr>
        <w:ind w:left="440" w:hanging="44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3">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4F53434"/>
    <w:multiLevelType w:val="multilevel"/>
    <w:tmpl w:val="44F53434"/>
    <w:lvl w:ilvl="0" w:tentative="0">
      <w:start w:val="6"/>
      <w:numFmt w:val="decimal"/>
      <w:lvlText w:val="%1"/>
      <w:lvlJc w:val="left"/>
      <w:pPr>
        <w:ind w:left="450" w:hanging="450"/>
      </w:pPr>
      <w:rPr>
        <w:rFonts w:hint="default"/>
      </w:rPr>
    </w:lvl>
    <w:lvl w:ilvl="1" w:tentative="0">
      <w:start w:val="1"/>
      <w:numFmt w:val="decimal"/>
      <w:lvlText w:val="%1.%2"/>
      <w:lvlJc w:val="left"/>
      <w:pPr>
        <w:ind w:left="450" w:hanging="450"/>
      </w:pPr>
      <w:rPr>
        <w:rFonts w:hint="default"/>
      </w:rPr>
    </w:lvl>
    <w:lvl w:ilvl="2" w:tentative="0">
      <w:start w:val="3"/>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5">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7">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9">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0">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1">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58592012"/>
    <w:multiLevelType w:val="multilevel"/>
    <w:tmpl w:val="58592012"/>
    <w:lvl w:ilvl="0" w:tentative="0">
      <w:start w:val="1"/>
      <w:numFmt w:val="decimal"/>
      <w:lvlText w:val="%1"/>
      <w:lvlJc w:val="left"/>
      <w:pPr>
        <w:tabs>
          <w:tab w:val="left" w:pos="360"/>
        </w:tabs>
        <w:ind w:left="360" w:hanging="360"/>
      </w:pPr>
      <w:rPr>
        <w:rFonts w:hint="eastAsia"/>
      </w:rPr>
    </w:lvl>
    <w:lvl w:ilvl="1" w:tentative="0">
      <w:start w:val="1"/>
      <w:numFmt w:val="decimal"/>
      <w:isLgl/>
      <w:lvlText w:val="%1.%2"/>
      <w:lvlJc w:val="left"/>
      <w:pPr>
        <w:tabs>
          <w:tab w:val="left" w:pos="495"/>
        </w:tabs>
        <w:ind w:left="495" w:hanging="495"/>
      </w:pPr>
      <w:rPr>
        <w:rFonts w:hint="eastAsia"/>
      </w:rPr>
    </w:lvl>
    <w:lvl w:ilvl="2" w:tentative="0">
      <w:start w:val="1"/>
      <w:numFmt w:val="decimal"/>
      <w:isLgl/>
      <w:lvlText w:val="%1.%2.%3"/>
      <w:lvlJc w:val="left"/>
      <w:pPr>
        <w:tabs>
          <w:tab w:val="left" w:pos="495"/>
        </w:tabs>
        <w:ind w:left="495" w:hanging="495"/>
      </w:pPr>
      <w:rPr>
        <w:rFonts w:hint="eastAsia"/>
      </w:rPr>
    </w:lvl>
    <w:lvl w:ilvl="3" w:tentative="0">
      <w:start w:val="1"/>
      <w:numFmt w:val="decimal"/>
      <w:isLgl/>
      <w:lvlText w:val="%1.%2.%3.%4"/>
      <w:lvlJc w:val="left"/>
      <w:pPr>
        <w:tabs>
          <w:tab w:val="left" w:pos="495"/>
        </w:tabs>
        <w:ind w:left="495" w:hanging="495"/>
      </w:pPr>
      <w:rPr>
        <w:rFonts w:hint="eastAsia"/>
      </w:rPr>
    </w:lvl>
    <w:lvl w:ilvl="4" w:tentative="0">
      <w:start w:val="1"/>
      <w:numFmt w:val="decimal"/>
      <w:isLgl/>
      <w:lvlText w:val="%1.%2.%3.%4.%5"/>
      <w:lvlJc w:val="left"/>
      <w:pPr>
        <w:tabs>
          <w:tab w:val="left" w:pos="495"/>
        </w:tabs>
        <w:ind w:left="495" w:hanging="495"/>
      </w:pPr>
      <w:rPr>
        <w:rFonts w:hint="eastAsia"/>
      </w:rPr>
    </w:lvl>
    <w:lvl w:ilvl="5" w:tentative="0">
      <w:start w:val="1"/>
      <w:numFmt w:val="decimal"/>
      <w:isLgl/>
      <w:lvlText w:val="%1.%2.%3.%4.%5.%6"/>
      <w:lvlJc w:val="left"/>
      <w:pPr>
        <w:tabs>
          <w:tab w:val="left" w:pos="495"/>
        </w:tabs>
        <w:ind w:left="495" w:hanging="495"/>
      </w:pPr>
      <w:rPr>
        <w:rFonts w:hint="eastAsia"/>
      </w:rPr>
    </w:lvl>
    <w:lvl w:ilvl="6" w:tentative="0">
      <w:start w:val="1"/>
      <w:numFmt w:val="decimal"/>
      <w:isLgl/>
      <w:lvlText w:val="%1.%2.%3.%4.%5.%6.%7"/>
      <w:lvlJc w:val="left"/>
      <w:pPr>
        <w:tabs>
          <w:tab w:val="left" w:pos="495"/>
        </w:tabs>
        <w:ind w:left="495" w:hanging="495"/>
      </w:pPr>
      <w:rPr>
        <w:rFonts w:hint="eastAsia"/>
      </w:rPr>
    </w:lvl>
    <w:lvl w:ilvl="7" w:tentative="0">
      <w:start w:val="1"/>
      <w:numFmt w:val="decimal"/>
      <w:isLgl/>
      <w:lvlText w:val="%1.%2.%3.%4.%5.%6.%7.%8"/>
      <w:lvlJc w:val="left"/>
      <w:pPr>
        <w:tabs>
          <w:tab w:val="left" w:pos="495"/>
        </w:tabs>
        <w:ind w:left="495" w:hanging="495"/>
      </w:pPr>
      <w:rPr>
        <w:rFonts w:hint="eastAsia"/>
      </w:rPr>
    </w:lvl>
    <w:lvl w:ilvl="8" w:tentative="0">
      <w:start w:val="1"/>
      <w:numFmt w:val="decimal"/>
      <w:isLgl/>
      <w:lvlText w:val="%1.%2.%3.%4.%5.%6.%7.%8.%9"/>
      <w:lvlJc w:val="left"/>
      <w:pPr>
        <w:tabs>
          <w:tab w:val="left" w:pos="495"/>
        </w:tabs>
        <w:ind w:left="495" w:hanging="495"/>
      </w:pPr>
      <w:rPr>
        <w:rFonts w:hint="eastAsia"/>
      </w:rPr>
    </w:lvl>
  </w:abstractNum>
  <w:abstractNum w:abstractNumId="23">
    <w:nsid w:val="5E470AD1"/>
    <w:multiLevelType w:val="multilevel"/>
    <w:tmpl w:val="5E470AD1"/>
    <w:lvl w:ilvl="0" w:tentative="0">
      <w:start w:val="6"/>
      <w:numFmt w:val="decimal"/>
      <w:lvlText w:val="%1"/>
      <w:lvlJc w:val="left"/>
      <w:pPr>
        <w:ind w:left="450" w:hanging="450"/>
      </w:pPr>
      <w:rPr>
        <w:rFonts w:hint="default"/>
      </w:rPr>
    </w:lvl>
    <w:lvl w:ilvl="1" w:tentative="0">
      <w:start w:val="2"/>
      <w:numFmt w:val="decimal"/>
      <w:lvlText w:val="%1.%2"/>
      <w:lvlJc w:val="left"/>
      <w:pPr>
        <w:ind w:left="450" w:hanging="45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24">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5">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6">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7">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8">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9">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2">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3">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4">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31"/>
  </w:num>
  <w:num w:numId="3">
    <w:abstractNumId w:val="5"/>
  </w:num>
  <w:num w:numId="4">
    <w:abstractNumId w:val="27"/>
  </w:num>
  <w:num w:numId="5">
    <w:abstractNumId w:val="20"/>
  </w:num>
  <w:num w:numId="6">
    <w:abstractNumId w:val="15"/>
  </w:num>
  <w:num w:numId="7">
    <w:abstractNumId w:val="8"/>
  </w:num>
  <w:num w:numId="8">
    <w:abstractNumId w:val="3"/>
  </w:num>
  <w:num w:numId="9">
    <w:abstractNumId w:val="9"/>
  </w:num>
  <w:num w:numId="10">
    <w:abstractNumId w:val="18"/>
  </w:num>
  <w:num w:numId="11">
    <w:abstractNumId w:val="29"/>
  </w:num>
  <w:num w:numId="12">
    <w:abstractNumId w:val="11"/>
  </w:num>
  <w:num w:numId="13">
    <w:abstractNumId w:val="13"/>
  </w:num>
  <w:num w:numId="14">
    <w:abstractNumId w:val="7"/>
  </w:num>
  <w:num w:numId="15">
    <w:abstractNumId w:val="21"/>
  </w:num>
  <w:num w:numId="16">
    <w:abstractNumId w:val="25"/>
  </w:num>
  <w:num w:numId="17">
    <w:abstractNumId w:val="19"/>
  </w:num>
  <w:num w:numId="18">
    <w:abstractNumId w:val="33"/>
  </w:num>
  <w:num w:numId="19">
    <w:abstractNumId w:val="17"/>
  </w:num>
  <w:num w:numId="20">
    <w:abstractNumId w:val="1"/>
  </w:num>
  <w:num w:numId="21">
    <w:abstractNumId w:val="10"/>
  </w:num>
  <w:num w:numId="22">
    <w:abstractNumId w:val="34"/>
  </w:num>
  <w:num w:numId="23">
    <w:abstractNumId w:val="24"/>
  </w:num>
  <w:num w:numId="24">
    <w:abstractNumId w:val="6"/>
  </w:num>
  <w:num w:numId="25">
    <w:abstractNumId w:val="30"/>
  </w:num>
  <w:num w:numId="26">
    <w:abstractNumId w:val="32"/>
  </w:num>
  <w:num w:numId="27">
    <w:abstractNumId w:val="2"/>
  </w:num>
  <w:num w:numId="28">
    <w:abstractNumId w:val="4"/>
  </w:num>
  <w:num w:numId="29">
    <w:abstractNumId w:val="16"/>
  </w:num>
  <w:num w:numId="30">
    <w:abstractNumId w:val="28"/>
  </w:num>
  <w:num w:numId="31">
    <w:abstractNumId w:val="26"/>
  </w:num>
  <w:num w:numId="32">
    <w:abstractNumId w:val="22"/>
  </w:num>
  <w:num w:numId="33">
    <w:abstractNumId w:val="12"/>
  </w:num>
  <w:num w:numId="34">
    <w:abstractNumId w:val="14"/>
  </w:num>
  <w:num w:numId="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bordersDoNotSurroundHeader w:val="1"/>
  <w:bordersDoNotSurroundFooter w:val="1"/>
  <w:attachedTemplate r:id="rId1"/>
  <w:documentProtection w:edit="forms" w:enforcement="1" w:cryptProviderType="rsaAES" w:cryptAlgorithmClass="hash" w:cryptAlgorithmType="typeAny" w:cryptAlgorithmSid="14" w:cryptSpinCount="100000" w:hash="mURYw8M6aKWbdBEyuoyGXA7yFGUMG58VR5yOjjO2+WN/KDBPUsy0WUs4BROnJckOtp0vmGGRU3thcANc48BHyw==" w:salt="Kl+8ZtdbxXIBuE/8VZp8y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wNDY0MzI4YTE3MzExNWRhNzYwZTlkYjU4MDg4YzgifQ=="/>
  </w:docVars>
  <w:rsids>
    <w:rsidRoot w:val="00F35AB2"/>
    <w:rsid w:val="0000040A"/>
    <w:rsid w:val="00000A94"/>
    <w:rsid w:val="00001972"/>
    <w:rsid w:val="00001D9A"/>
    <w:rsid w:val="00005694"/>
    <w:rsid w:val="00005D8E"/>
    <w:rsid w:val="00007B3A"/>
    <w:rsid w:val="000107E0"/>
    <w:rsid w:val="0001159D"/>
    <w:rsid w:val="00011A3F"/>
    <w:rsid w:val="00011FDE"/>
    <w:rsid w:val="00012FFD"/>
    <w:rsid w:val="00014162"/>
    <w:rsid w:val="00014340"/>
    <w:rsid w:val="00016A9C"/>
    <w:rsid w:val="00022184"/>
    <w:rsid w:val="00022762"/>
    <w:rsid w:val="000238E0"/>
    <w:rsid w:val="000249DB"/>
    <w:rsid w:val="0002595E"/>
    <w:rsid w:val="000303C3"/>
    <w:rsid w:val="00031809"/>
    <w:rsid w:val="000331D3"/>
    <w:rsid w:val="000333E3"/>
    <w:rsid w:val="000346A5"/>
    <w:rsid w:val="000359C3"/>
    <w:rsid w:val="00035A7D"/>
    <w:rsid w:val="0004249A"/>
    <w:rsid w:val="00043282"/>
    <w:rsid w:val="00044286"/>
    <w:rsid w:val="00047F28"/>
    <w:rsid w:val="00047FB6"/>
    <w:rsid w:val="000503AA"/>
    <w:rsid w:val="000506A1"/>
    <w:rsid w:val="000515DD"/>
    <w:rsid w:val="0005265A"/>
    <w:rsid w:val="0005265B"/>
    <w:rsid w:val="000539DD"/>
    <w:rsid w:val="00053BD3"/>
    <w:rsid w:val="00055067"/>
    <w:rsid w:val="000556ED"/>
    <w:rsid w:val="00055922"/>
    <w:rsid w:val="00055FE2"/>
    <w:rsid w:val="0005616F"/>
    <w:rsid w:val="000608BC"/>
    <w:rsid w:val="00060C2E"/>
    <w:rsid w:val="00061033"/>
    <w:rsid w:val="000619E9"/>
    <w:rsid w:val="000622D4"/>
    <w:rsid w:val="00062629"/>
    <w:rsid w:val="0006357D"/>
    <w:rsid w:val="00065CDE"/>
    <w:rsid w:val="00067F1E"/>
    <w:rsid w:val="00070A7A"/>
    <w:rsid w:val="00071CC0"/>
    <w:rsid w:val="000724A8"/>
    <w:rsid w:val="00073A7E"/>
    <w:rsid w:val="00073C8C"/>
    <w:rsid w:val="0007531F"/>
    <w:rsid w:val="0007779D"/>
    <w:rsid w:val="00077B64"/>
    <w:rsid w:val="00077C97"/>
    <w:rsid w:val="00080A1C"/>
    <w:rsid w:val="00082102"/>
    <w:rsid w:val="00082317"/>
    <w:rsid w:val="00083D2C"/>
    <w:rsid w:val="000860B3"/>
    <w:rsid w:val="00086AA1"/>
    <w:rsid w:val="00086F69"/>
    <w:rsid w:val="00087A77"/>
    <w:rsid w:val="00090CA6"/>
    <w:rsid w:val="00091884"/>
    <w:rsid w:val="00092B8A"/>
    <w:rsid w:val="00092FB0"/>
    <w:rsid w:val="000934C5"/>
    <w:rsid w:val="00093D25"/>
    <w:rsid w:val="00094D73"/>
    <w:rsid w:val="00096D63"/>
    <w:rsid w:val="000A0B60"/>
    <w:rsid w:val="000A0EB8"/>
    <w:rsid w:val="000A19FC"/>
    <w:rsid w:val="000A296B"/>
    <w:rsid w:val="000A6023"/>
    <w:rsid w:val="000A7311"/>
    <w:rsid w:val="000B060F"/>
    <w:rsid w:val="000B1592"/>
    <w:rsid w:val="000B1FF2"/>
    <w:rsid w:val="000B3CDA"/>
    <w:rsid w:val="000B6A0B"/>
    <w:rsid w:val="000C0F6C"/>
    <w:rsid w:val="000C11DB"/>
    <w:rsid w:val="000C2F1E"/>
    <w:rsid w:val="000C2FBD"/>
    <w:rsid w:val="000C3E10"/>
    <w:rsid w:val="000C491F"/>
    <w:rsid w:val="000C4B41"/>
    <w:rsid w:val="000C57D6"/>
    <w:rsid w:val="000C7666"/>
    <w:rsid w:val="000C769C"/>
    <w:rsid w:val="000C7F19"/>
    <w:rsid w:val="000D04CE"/>
    <w:rsid w:val="000D0A9C"/>
    <w:rsid w:val="000D1795"/>
    <w:rsid w:val="000D329A"/>
    <w:rsid w:val="000D4B9C"/>
    <w:rsid w:val="000D4EB6"/>
    <w:rsid w:val="000D67D9"/>
    <w:rsid w:val="000D753B"/>
    <w:rsid w:val="000D7843"/>
    <w:rsid w:val="000E0F0D"/>
    <w:rsid w:val="000E4C9E"/>
    <w:rsid w:val="000E6FD7"/>
    <w:rsid w:val="000E6FD8"/>
    <w:rsid w:val="000F06E1"/>
    <w:rsid w:val="000F0E3C"/>
    <w:rsid w:val="000F19D5"/>
    <w:rsid w:val="000F1DAD"/>
    <w:rsid w:val="000F22CA"/>
    <w:rsid w:val="000F2F4D"/>
    <w:rsid w:val="000F4999"/>
    <w:rsid w:val="000F4AE6"/>
    <w:rsid w:val="000F4AEA"/>
    <w:rsid w:val="000F6501"/>
    <w:rsid w:val="000F67E9"/>
    <w:rsid w:val="001016A7"/>
    <w:rsid w:val="00101EC9"/>
    <w:rsid w:val="001032E6"/>
    <w:rsid w:val="00104926"/>
    <w:rsid w:val="00113B1E"/>
    <w:rsid w:val="00116DCF"/>
    <w:rsid w:val="0011711C"/>
    <w:rsid w:val="0011713B"/>
    <w:rsid w:val="001177C9"/>
    <w:rsid w:val="00124E4F"/>
    <w:rsid w:val="001260B7"/>
    <w:rsid w:val="001265CB"/>
    <w:rsid w:val="00130663"/>
    <w:rsid w:val="001321C6"/>
    <w:rsid w:val="001325C4"/>
    <w:rsid w:val="00133010"/>
    <w:rsid w:val="001337A1"/>
    <w:rsid w:val="001338EE"/>
    <w:rsid w:val="00133AAE"/>
    <w:rsid w:val="00135323"/>
    <w:rsid w:val="001356C4"/>
    <w:rsid w:val="00140FD2"/>
    <w:rsid w:val="00141114"/>
    <w:rsid w:val="00142969"/>
    <w:rsid w:val="001457E7"/>
    <w:rsid w:val="00145D9D"/>
    <w:rsid w:val="00146388"/>
    <w:rsid w:val="001529E5"/>
    <w:rsid w:val="00152BF0"/>
    <w:rsid w:val="00153C7E"/>
    <w:rsid w:val="00155ED6"/>
    <w:rsid w:val="00156B25"/>
    <w:rsid w:val="00156E1A"/>
    <w:rsid w:val="00157B55"/>
    <w:rsid w:val="00160ABC"/>
    <w:rsid w:val="00161EC0"/>
    <w:rsid w:val="00162305"/>
    <w:rsid w:val="00162CF3"/>
    <w:rsid w:val="00163D26"/>
    <w:rsid w:val="001642FA"/>
    <w:rsid w:val="001649EB"/>
    <w:rsid w:val="00164BAF"/>
    <w:rsid w:val="00164FA8"/>
    <w:rsid w:val="00165065"/>
    <w:rsid w:val="00165434"/>
    <w:rsid w:val="0016580B"/>
    <w:rsid w:val="00165F49"/>
    <w:rsid w:val="00166526"/>
    <w:rsid w:val="00166B88"/>
    <w:rsid w:val="0016770A"/>
    <w:rsid w:val="00170804"/>
    <w:rsid w:val="001708E9"/>
    <w:rsid w:val="0017340B"/>
    <w:rsid w:val="00173FB1"/>
    <w:rsid w:val="00176DFD"/>
    <w:rsid w:val="001815DC"/>
    <w:rsid w:val="001830C5"/>
    <w:rsid w:val="001852C9"/>
    <w:rsid w:val="00190087"/>
    <w:rsid w:val="00190462"/>
    <w:rsid w:val="00191096"/>
    <w:rsid w:val="001913C4"/>
    <w:rsid w:val="0019348F"/>
    <w:rsid w:val="00193A07"/>
    <w:rsid w:val="00194C95"/>
    <w:rsid w:val="00194D5C"/>
    <w:rsid w:val="00195C34"/>
    <w:rsid w:val="00197554"/>
    <w:rsid w:val="001A1A53"/>
    <w:rsid w:val="001A234A"/>
    <w:rsid w:val="001B060A"/>
    <w:rsid w:val="001B06E8"/>
    <w:rsid w:val="001B505E"/>
    <w:rsid w:val="001B71D0"/>
    <w:rsid w:val="001B71EE"/>
    <w:rsid w:val="001C0101"/>
    <w:rsid w:val="001C013C"/>
    <w:rsid w:val="001C04A8"/>
    <w:rsid w:val="001C180C"/>
    <w:rsid w:val="001C25F3"/>
    <w:rsid w:val="001C2C03"/>
    <w:rsid w:val="001C42F7"/>
    <w:rsid w:val="001C49E5"/>
    <w:rsid w:val="001C680C"/>
    <w:rsid w:val="001C7499"/>
    <w:rsid w:val="001C7FEA"/>
    <w:rsid w:val="001D0499"/>
    <w:rsid w:val="001D0BBE"/>
    <w:rsid w:val="001D0ED4"/>
    <w:rsid w:val="001D1C53"/>
    <w:rsid w:val="001D212F"/>
    <w:rsid w:val="001D29D7"/>
    <w:rsid w:val="001D2DE7"/>
    <w:rsid w:val="001D411C"/>
    <w:rsid w:val="001D463B"/>
    <w:rsid w:val="001D5957"/>
    <w:rsid w:val="001D65C7"/>
    <w:rsid w:val="001E076A"/>
    <w:rsid w:val="001E1B6A"/>
    <w:rsid w:val="001E2484"/>
    <w:rsid w:val="001E3CC4"/>
    <w:rsid w:val="001E4882"/>
    <w:rsid w:val="001E73AB"/>
    <w:rsid w:val="001F092D"/>
    <w:rsid w:val="001F143A"/>
    <w:rsid w:val="001F1605"/>
    <w:rsid w:val="001F2508"/>
    <w:rsid w:val="001F4816"/>
    <w:rsid w:val="001F69B4"/>
    <w:rsid w:val="001F77C7"/>
    <w:rsid w:val="00200183"/>
    <w:rsid w:val="0020107D"/>
    <w:rsid w:val="0020213F"/>
    <w:rsid w:val="00202AA4"/>
    <w:rsid w:val="002031F7"/>
    <w:rsid w:val="00203547"/>
    <w:rsid w:val="002040E6"/>
    <w:rsid w:val="0020527B"/>
    <w:rsid w:val="002055F8"/>
    <w:rsid w:val="00207578"/>
    <w:rsid w:val="00210B15"/>
    <w:rsid w:val="002142EA"/>
    <w:rsid w:val="002204BB"/>
    <w:rsid w:val="00221B79"/>
    <w:rsid w:val="00221C6B"/>
    <w:rsid w:val="002253A1"/>
    <w:rsid w:val="00225CF8"/>
    <w:rsid w:val="0022794E"/>
    <w:rsid w:val="00230B16"/>
    <w:rsid w:val="0023102A"/>
    <w:rsid w:val="00233D64"/>
    <w:rsid w:val="0023482A"/>
    <w:rsid w:val="0023597A"/>
    <w:rsid w:val="002359CB"/>
    <w:rsid w:val="002427F2"/>
    <w:rsid w:val="00242AC9"/>
    <w:rsid w:val="00243540"/>
    <w:rsid w:val="0024497B"/>
    <w:rsid w:val="0024515B"/>
    <w:rsid w:val="00246021"/>
    <w:rsid w:val="0024666E"/>
    <w:rsid w:val="00247F52"/>
    <w:rsid w:val="00250B25"/>
    <w:rsid w:val="00250BBE"/>
    <w:rsid w:val="0025194F"/>
    <w:rsid w:val="00253F14"/>
    <w:rsid w:val="0026148A"/>
    <w:rsid w:val="00262696"/>
    <w:rsid w:val="002643C3"/>
    <w:rsid w:val="00264A0C"/>
    <w:rsid w:val="00267EF4"/>
    <w:rsid w:val="00270CB8"/>
    <w:rsid w:val="00272B08"/>
    <w:rsid w:val="00276004"/>
    <w:rsid w:val="00280C85"/>
    <w:rsid w:val="00281BB8"/>
    <w:rsid w:val="00281E9E"/>
    <w:rsid w:val="00285170"/>
    <w:rsid w:val="00285361"/>
    <w:rsid w:val="00285E38"/>
    <w:rsid w:val="0029019A"/>
    <w:rsid w:val="00292D60"/>
    <w:rsid w:val="00294D34"/>
    <w:rsid w:val="00294E3B"/>
    <w:rsid w:val="00296193"/>
    <w:rsid w:val="00296C66"/>
    <w:rsid w:val="00296EBE"/>
    <w:rsid w:val="002974E3"/>
    <w:rsid w:val="002A084B"/>
    <w:rsid w:val="002A1260"/>
    <w:rsid w:val="002A1589"/>
    <w:rsid w:val="002A1608"/>
    <w:rsid w:val="002A25DC"/>
    <w:rsid w:val="002A38EC"/>
    <w:rsid w:val="002A3AAB"/>
    <w:rsid w:val="002A4CEA"/>
    <w:rsid w:val="002A5977"/>
    <w:rsid w:val="002A5A13"/>
    <w:rsid w:val="002A7F44"/>
    <w:rsid w:val="002B0C40"/>
    <w:rsid w:val="002B1966"/>
    <w:rsid w:val="002B4508"/>
    <w:rsid w:val="002B5779"/>
    <w:rsid w:val="002B7332"/>
    <w:rsid w:val="002B7F51"/>
    <w:rsid w:val="002C01D4"/>
    <w:rsid w:val="002C05AE"/>
    <w:rsid w:val="002C09E7"/>
    <w:rsid w:val="002C1B28"/>
    <w:rsid w:val="002C3F07"/>
    <w:rsid w:val="002C5278"/>
    <w:rsid w:val="002C5F9C"/>
    <w:rsid w:val="002C7EBB"/>
    <w:rsid w:val="002D06C1"/>
    <w:rsid w:val="002D42B5"/>
    <w:rsid w:val="002D4F1A"/>
    <w:rsid w:val="002D549A"/>
    <w:rsid w:val="002D6EC6"/>
    <w:rsid w:val="002D79AC"/>
    <w:rsid w:val="002E039D"/>
    <w:rsid w:val="002E4D5A"/>
    <w:rsid w:val="002E6053"/>
    <w:rsid w:val="002E6326"/>
    <w:rsid w:val="002F30E0"/>
    <w:rsid w:val="002F35E4"/>
    <w:rsid w:val="002F3730"/>
    <w:rsid w:val="002F38E1"/>
    <w:rsid w:val="002F52E1"/>
    <w:rsid w:val="002F6016"/>
    <w:rsid w:val="002F7AF6"/>
    <w:rsid w:val="00300E63"/>
    <w:rsid w:val="00302F5F"/>
    <w:rsid w:val="0030441D"/>
    <w:rsid w:val="00306063"/>
    <w:rsid w:val="00306C65"/>
    <w:rsid w:val="0031147D"/>
    <w:rsid w:val="00313B85"/>
    <w:rsid w:val="00314BDF"/>
    <w:rsid w:val="00316F55"/>
    <w:rsid w:val="00317988"/>
    <w:rsid w:val="003200D9"/>
    <w:rsid w:val="003221B4"/>
    <w:rsid w:val="00322E62"/>
    <w:rsid w:val="00324EDD"/>
    <w:rsid w:val="00326C94"/>
    <w:rsid w:val="003342EC"/>
    <w:rsid w:val="00334F54"/>
    <w:rsid w:val="003364DA"/>
    <w:rsid w:val="00336C64"/>
    <w:rsid w:val="00337162"/>
    <w:rsid w:val="0034194F"/>
    <w:rsid w:val="00343510"/>
    <w:rsid w:val="00344605"/>
    <w:rsid w:val="00344C52"/>
    <w:rsid w:val="00347031"/>
    <w:rsid w:val="003474AA"/>
    <w:rsid w:val="00350D1D"/>
    <w:rsid w:val="00352C83"/>
    <w:rsid w:val="00357FD0"/>
    <w:rsid w:val="003615D2"/>
    <w:rsid w:val="00362F5A"/>
    <w:rsid w:val="0036429C"/>
    <w:rsid w:val="00364A53"/>
    <w:rsid w:val="003654CB"/>
    <w:rsid w:val="00365F86"/>
    <w:rsid w:val="00365F87"/>
    <w:rsid w:val="00367C7F"/>
    <w:rsid w:val="003705F4"/>
    <w:rsid w:val="00370D58"/>
    <w:rsid w:val="00371316"/>
    <w:rsid w:val="00371A0E"/>
    <w:rsid w:val="00375D67"/>
    <w:rsid w:val="00376713"/>
    <w:rsid w:val="00381815"/>
    <w:rsid w:val="003819AF"/>
    <w:rsid w:val="003820E9"/>
    <w:rsid w:val="003821A3"/>
    <w:rsid w:val="00382DE7"/>
    <w:rsid w:val="003843E5"/>
    <w:rsid w:val="00384FFC"/>
    <w:rsid w:val="003872FC"/>
    <w:rsid w:val="00387ADC"/>
    <w:rsid w:val="00390020"/>
    <w:rsid w:val="003903D6"/>
    <w:rsid w:val="00390EE6"/>
    <w:rsid w:val="0039118F"/>
    <w:rsid w:val="00392AD7"/>
    <w:rsid w:val="003938D9"/>
    <w:rsid w:val="00394376"/>
    <w:rsid w:val="003943FF"/>
    <w:rsid w:val="003974EB"/>
    <w:rsid w:val="00397CC5"/>
    <w:rsid w:val="003A0890"/>
    <w:rsid w:val="003A1582"/>
    <w:rsid w:val="003A39F9"/>
    <w:rsid w:val="003A4077"/>
    <w:rsid w:val="003A4964"/>
    <w:rsid w:val="003A7671"/>
    <w:rsid w:val="003B09AD"/>
    <w:rsid w:val="003B1F18"/>
    <w:rsid w:val="003B5BF0"/>
    <w:rsid w:val="003B60BF"/>
    <w:rsid w:val="003B61DF"/>
    <w:rsid w:val="003B6BE3"/>
    <w:rsid w:val="003C010C"/>
    <w:rsid w:val="003C0A6C"/>
    <w:rsid w:val="003C4D34"/>
    <w:rsid w:val="003C5A43"/>
    <w:rsid w:val="003D0519"/>
    <w:rsid w:val="003D0FF6"/>
    <w:rsid w:val="003D262C"/>
    <w:rsid w:val="003D2713"/>
    <w:rsid w:val="003D304A"/>
    <w:rsid w:val="003D6D61"/>
    <w:rsid w:val="003E091D"/>
    <w:rsid w:val="003E1C53"/>
    <w:rsid w:val="003E2A69"/>
    <w:rsid w:val="003E2D49"/>
    <w:rsid w:val="003E2FD4"/>
    <w:rsid w:val="003E49F6"/>
    <w:rsid w:val="003F0841"/>
    <w:rsid w:val="003F09FB"/>
    <w:rsid w:val="003F166A"/>
    <w:rsid w:val="003F22BE"/>
    <w:rsid w:val="003F23D3"/>
    <w:rsid w:val="003F3F08"/>
    <w:rsid w:val="003F49F1"/>
    <w:rsid w:val="003F6272"/>
    <w:rsid w:val="003F79AC"/>
    <w:rsid w:val="00400E72"/>
    <w:rsid w:val="00401400"/>
    <w:rsid w:val="00404869"/>
    <w:rsid w:val="00405884"/>
    <w:rsid w:val="00407421"/>
    <w:rsid w:val="00407D39"/>
    <w:rsid w:val="00412784"/>
    <w:rsid w:val="004133D2"/>
    <w:rsid w:val="0041477A"/>
    <w:rsid w:val="004167A3"/>
    <w:rsid w:val="00426A72"/>
    <w:rsid w:val="00427A85"/>
    <w:rsid w:val="00432C5F"/>
    <w:rsid w:val="00432DAA"/>
    <w:rsid w:val="00434305"/>
    <w:rsid w:val="004347D3"/>
    <w:rsid w:val="00435DF7"/>
    <w:rsid w:val="0044083F"/>
    <w:rsid w:val="004412E6"/>
    <w:rsid w:val="00441AE7"/>
    <w:rsid w:val="00444ED9"/>
    <w:rsid w:val="00445574"/>
    <w:rsid w:val="004467FB"/>
    <w:rsid w:val="00452D6B"/>
    <w:rsid w:val="00454484"/>
    <w:rsid w:val="00454BBD"/>
    <w:rsid w:val="0045517B"/>
    <w:rsid w:val="00455CE6"/>
    <w:rsid w:val="00463B77"/>
    <w:rsid w:val="00463C7B"/>
    <w:rsid w:val="004644A6"/>
    <w:rsid w:val="004659BD"/>
    <w:rsid w:val="00470775"/>
    <w:rsid w:val="0047269F"/>
    <w:rsid w:val="004746B1"/>
    <w:rsid w:val="00474FD1"/>
    <w:rsid w:val="0047583F"/>
    <w:rsid w:val="004767AF"/>
    <w:rsid w:val="00484936"/>
    <w:rsid w:val="00485C89"/>
    <w:rsid w:val="004866A1"/>
    <w:rsid w:val="00486BE3"/>
    <w:rsid w:val="004905E4"/>
    <w:rsid w:val="00490A89"/>
    <w:rsid w:val="00490AB4"/>
    <w:rsid w:val="00492F02"/>
    <w:rsid w:val="00493702"/>
    <w:rsid w:val="004939AE"/>
    <w:rsid w:val="00495432"/>
    <w:rsid w:val="004A12DF"/>
    <w:rsid w:val="004A1BA8"/>
    <w:rsid w:val="004A4B57"/>
    <w:rsid w:val="004A63FA"/>
    <w:rsid w:val="004B2701"/>
    <w:rsid w:val="004B2E1B"/>
    <w:rsid w:val="004B3E93"/>
    <w:rsid w:val="004B4489"/>
    <w:rsid w:val="004B741A"/>
    <w:rsid w:val="004B7BFE"/>
    <w:rsid w:val="004B7E5D"/>
    <w:rsid w:val="004C0478"/>
    <w:rsid w:val="004C1414"/>
    <w:rsid w:val="004C1FBC"/>
    <w:rsid w:val="004C3F1D"/>
    <w:rsid w:val="004C458D"/>
    <w:rsid w:val="004C7556"/>
    <w:rsid w:val="004C76EC"/>
    <w:rsid w:val="004C7E9D"/>
    <w:rsid w:val="004C7F67"/>
    <w:rsid w:val="004D076D"/>
    <w:rsid w:val="004D0EF1"/>
    <w:rsid w:val="004D2253"/>
    <w:rsid w:val="004D2D80"/>
    <w:rsid w:val="004D4406"/>
    <w:rsid w:val="004D7C42"/>
    <w:rsid w:val="004E0465"/>
    <w:rsid w:val="004E127B"/>
    <w:rsid w:val="004E1C0A"/>
    <w:rsid w:val="004E30C5"/>
    <w:rsid w:val="004E4AA5"/>
    <w:rsid w:val="004E4AEE"/>
    <w:rsid w:val="004E59E3"/>
    <w:rsid w:val="004E67C0"/>
    <w:rsid w:val="004F2EA3"/>
    <w:rsid w:val="004F391A"/>
    <w:rsid w:val="004F3CFB"/>
    <w:rsid w:val="004F6456"/>
    <w:rsid w:val="004F696E"/>
    <w:rsid w:val="004F6C71"/>
    <w:rsid w:val="00501139"/>
    <w:rsid w:val="005029E3"/>
    <w:rsid w:val="0050363E"/>
    <w:rsid w:val="005039BC"/>
    <w:rsid w:val="005043BB"/>
    <w:rsid w:val="00504A3D"/>
    <w:rsid w:val="00505767"/>
    <w:rsid w:val="005073F0"/>
    <w:rsid w:val="00510A7B"/>
    <w:rsid w:val="005117C5"/>
    <w:rsid w:val="00512F6E"/>
    <w:rsid w:val="00513038"/>
    <w:rsid w:val="005131C0"/>
    <w:rsid w:val="00514174"/>
    <w:rsid w:val="00514DF9"/>
    <w:rsid w:val="00516088"/>
    <w:rsid w:val="00516B0B"/>
    <w:rsid w:val="005220EC"/>
    <w:rsid w:val="00523F95"/>
    <w:rsid w:val="00524D65"/>
    <w:rsid w:val="00525B16"/>
    <w:rsid w:val="00532E67"/>
    <w:rsid w:val="005338AC"/>
    <w:rsid w:val="00533D04"/>
    <w:rsid w:val="00534804"/>
    <w:rsid w:val="00534BDF"/>
    <w:rsid w:val="005354EA"/>
    <w:rsid w:val="00535A87"/>
    <w:rsid w:val="00535EC4"/>
    <w:rsid w:val="00535ED9"/>
    <w:rsid w:val="00536011"/>
    <w:rsid w:val="0053692B"/>
    <w:rsid w:val="00541853"/>
    <w:rsid w:val="0054218B"/>
    <w:rsid w:val="00543BDA"/>
    <w:rsid w:val="005441CC"/>
    <w:rsid w:val="005445C2"/>
    <w:rsid w:val="00545D9D"/>
    <w:rsid w:val="005479DA"/>
    <w:rsid w:val="00547BCC"/>
    <w:rsid w:val="0055013B"/>
    <w:rsid w:val="00551F6F"/>
    <w:rsid w:val="00554ED5"/>
    <w:rsid w:val="00555044"/>
    <w:rsid w:val="0055732E"/>
    <w:rsid w:val="00561475"/>
    <w:rsid w:val="00561AAD"/>
    <w:rsid w:val="00562980"/>
    <w:rsid w:val="0056487B"/>
    <w:rsid w:val="00564FB9"/>
    <w:rsid w:val="00566AC2"/>
    <w:rsid w:val="0057077D"/>
    <w:rsid w:val="005708F8"/>
    <w:rsid w:val="00573559"/>
    <w:rsid w:val="00573AE8"/>
    <w:rsid w:val="00573D9E"/>
    <w:rsid w:val="00575ED1"/>
    <w:rsid w:val="005801E3"/>
    <w:rsid w:val="00581802"/>
    <w:rsid w:val="005836A8"/>
    <w:rsid w:val="00584262"/>
    <w:rsid w:val="00586630"/>
    <w:rsid w:val="00587ADD"/>
    <w:rsid w:val="00592279"/>
    <w:rsid w:val="00596160"/>
    <w:rsid w:val="005966E2"/>
    <w:rsid w:val="00597007"/>
    <w:rsid w:val="005A0966"/>
    <w:rsid w:val="005A11B7"/>
    <w:rsid w:val="005A260B"/>
    <w:rsid w:val="005A39C8"/>
    <w:rsid w:val="005A4A1B"/>
    <w:rsid w:val="005A7830"/>
    <w:rsid w:val="005A7FCE"/>
    <w:rsid w:val="005B0F3F"/>
    <w:rsid w:val="005B1FEF"/>
    <w:rsid w:val="005B3769"/>
    <w:rsid w:val="005B4903"/>
    <w:rsid w:val="005B51CE"/>
    <w:rsid w:val="005B5885"/>
    <w:rsid w:val="005B5CD7"/>
    <w:rsid w:val="005B6A77"/>
    <w:rsid w:val="005B6CF6"/>
    <w:rsid w:val="005B7422"/>
    <w:rsid w:val="005C22FA"/>
    <w:rsid w:val="005C29B8"/>
    <w:rsid w:val="005C5F21"/>
    <w:rsid w:val="005C7156"/>
    <w:rsid w:val="005D0C75"/>
    <w:rsid w:val="005D35D1"/>
    <w:rsid w:val="005D4171"/>
    <w:rsid w:val="005D6A95"/>
    <w:rsid w:val="005D6B2C"/>
    <w:rsid w:val="005D6D9C"/>
    <w:rsid w:val="005E2335"/>
    <w:rsid w:val="005E34CA"/>
    <w:rsid w:val="005E3C18"/>
    <w:rsid w:val="005E7881"/>
    <w:rsid w:val="005E78E0"/>
    <w:rsid w:val="005F0D9C"/>
    <w:rsid w:val="005F284E"/>
    <w:rsid w:val="006002B2"/>
    <w:rsid w:val="006015CE"/>
    <w:rsid w:val="00604784"/>
    <w:rsid w:val="00606419"/>
    <w:rsid w:val="00607D29"/>
    <w:rsid w:val="00612952"/>
    <w:rsid w:val="00614CC1"/>
    <w:rsid w:val="00615A9D"/>
    <w:rsid w:val="00615EAC"/>
    <w:rsid w:val="006162BE"/>
    <w:rsid w:val="00616321"/>
    <w:rsid w:val="00616BBB"/>
    <w:rsid w:val="00617387"/>
    <w:rsid w:val="00622C7A"/>
    <w:rsid w:val="006252D8"/>
    <w:rsid w:val="006259BC"/>
    <w:rsid w:val="0062636B"/>
    <w:rsid w:val="00631555"/>
    <w:rsid w:val="00632182"/>
    <w:rsid w:val="00632355"/>
    <w:rsid w:val="00632AE0"/>
    <w:rsid w:val="00633C17"/>
    <w:rsid w:val="00636E3E"/>
    <w:rsid w:val="006379F7"/>
    <w:rsid w:val="00637B6E"/>
    <w:rsid w:val="00637E4D"/>
    <w:rsid w:val="00640620"/>
    <w:rsid w:val="00641A1F"/>
    <w:rsid w:val="00645904"/>
    <w:rsid w:val="00647A9D"/>
    <w:rsid w:val="00651ACB"/>
    <w:rsid w:val="00651C47"/>
    <w:rsid w:val="00652AB2"/>
    <w:rsid w:val="00654EC0"/>
    <w:rsid w:val="00655216"/>
    <w:rsid w:val="0065525B"/>
    <w:rsid w:val="00655D4F"/>
    <w:rsid w:val="006634B5"/>
    <w:rsid w:val="006640E5"/>
    <w:rsid w:val="006646F1"/>
    <w:rsid w:val="00664929"/>
    <w:rsid w:val="00664F62"/>
    <w:rsid w:val="006655E1"/>
    <w:rsid w:val="00665AED"/>
    <w:rsid w:val="00672060"/>
    <w:rsid w:val="00672205"/>
    <w:rsid w:val="00672BFD"/>
    <w:rsid w:val="006764A9"/>
    <w:rsid w:val="006770F4"/>
    <w:rsid w:val="00677A84"/>
    <w:rsid w:val="0068026D"/>
    <w:rsid w:val="00680A27"/>
    <w:rsid w:val="006816A4"/>
    <w:rsid w:val="006819B8"/>
    <w:rsid w:val="006840A6"/>
    <w:rsid w:val="00684879"/>
    <w:rsid w:val="006850CD"/>
    <w:rsid w:val="00685AAB"/>
    <w:rsid w:val="00687992"/>
    <w:rsid w:val="0069053A"/>
    <w:rsid w:val="006915C4"/>
    <w:rsid w:val="00694679"/>
    <w:rsid w:val="006A07AA"/>
    <w:rsid w:val="006A25E5"/>
    <w:rsid w:val="006A2B46"/>
    <w:rsid w:val="006A30DC"/>
    <w:rsid w:val="006A336D"/>
    <w:rsid w:val="006A37B9"/>
    <w:rsid w:val="006B2672"/>
    <w:rsid w:val="006B54BF"/>
    <w:rsid w:val="006B5F44"/>
    <w:rsid w:val="006B5F90"/>
    <w:rsid w:val="006B62E4"/>
    <w:rsid w:val="006C1BBA"/>
    <w:rsid w:val="006C2079"/>
    <w:rsid w:val="006C3829"/>
    <w:rsid w:val="006C394D"/>
    <w:rsid w:val="006C5A62"/>
    <w:rsid w:val="006C5D68"/>
    <w:rsid w:val="006C6976"/>
    <w:rsid w:val="006C6DD0"/>
    <w:rsid w:val="006D04EA"/>
    <w:rsid w:val="006D16C4"/>
    <w:rsid w:val="006D296C"/>
    <w:rsid w:val="006D3E96"/>
    <w:rsid w:val="006D4515"/>
    <w:rsid w:val="006D4BB1"/>
    <w:rsid w:val="006D55FE"/>
    <w:rsid w:val="006D6593"/>
    <w:rsid w:val="006F03A8"/>
    <w:rsid w:val="006F2ACA"/>
    <w:rsid w:val="006F2ADC"/>
    <w:rsid w:val="006F2BFE"/>
    <w:rsid w:val="006F31E9"/>
    <w:rsid w:val="006F6284"/>
    <w:rsid w:val="006F6CED"/>
    <w:rsid w:val="007002C5"/>
    <w:rsid w:val="00700B82"/>
    <w:rsid w:val="00704387"/>
    <w:rsid w:val="00707669"/>
    <w:rsid w:val="00711CBA"/>
    <w:rsid w:val="00711FB5"/>
    <w:rsid w:val="00712A01"/>
    <w:rsid w:val="007134D9"/>
    <w:rsid w:val="00714F58"/>
    <w:rsid w:val="00717D16"/>
    <w:rsid w:val="00717E36"/>
    <w:rsid w:val="00722FBF"/>
    <w:rsid w:val="00722FC2"/>
    <w:rsid w:val="00725949"/>
    <w:rsid w:val="00727FA2"/>
    <w:rsid w:val="007322D9"/>
    <w:rsid w:val="00732BC0"/>
    <w:rsid w:val="0073720F"/>
    <w:rsid w:val="00737796"/>
    <w:rsid w:val="0074165C"/>
    <w:rsid w:val="007432CA"/>
    <w:rsid w:val="007434CB"/>
    <w:rsid w:val="007439EB"/>
    <w:rsid w:val="00743CB4"/>
    <w:rsid w:val="00743F0A"/>
    <w:rsid w:val="007444E8"/>
    <w:rsid w:val="0074548E"/>
    <w:rsid w:val="00745773"/>
    <w:rsid w:val="00746736"/>
    <w:rsid w:val="00746800"/>
    <w:rsid w:val="00747B4C"/>
    <w:rsid w:val="007501A8"/>
    <w:rsid w:val="00750270"/>
    <w:rsid w:val="00750EE1"/>
    <w:rsid w:val="00752B4D"/>
    <w:rsid w:val="00755402"/>
    <w:rsid w:val="00756B26"/>
    <w:rsid w:val="00756EDF"/>
    <w:rsid w:val="007602DF"/>
    <w:rsid w:val="007609A2"/>
    <w:rsid w:val="00765714"/>
    <w:rsid w:val="00765C43"/>
    <w:rsid w:val="00765EFB"/>
    <w:rsid w:val="007671CA"/>
    <w:rsid w:val="00767C61"/>
    <w:rsid w:val="0077008A"/>
    <w:rsid w:val="00773C1F"/>
    <w:rsid w:val="007742F1"/>
    <w:rsid w:val="00774DA4"/>
    <w:rsid w:val="00776599"/>
    <w:rsid w:val="0078114B"/>
    <w:rsid w:val="00781DD2"/>
    <w:rsid w:val="00782FFA"/>
    <w:rsid w:val="00783ECF"/>
    <w:rsid w:val="0078413A"/>
    <w:rsid w:val="00792048"/>
    <w:rsid w:val="007959E8"/>
    <w:rsid w:val="00795E9C"/>
    <w:rsid w:val="007A0521"/>
    <w:rsid w:val="007A2E12"/>
    <w:rsid w:val="007A3475"/>
    <w:rsid w:val="007A41C8"/>
    <w:rsid w:val="007A4943"/>
    <w:rsid w:val="007A54CE"/>
    <w:rsid w:val="007A7FFA"/>
    <w:rsid w:val="007B04EB"/>
    <w:rsid w:val="007B0D4F"/>
    <w:rsid w:val="007B4754"/>
    <w:rsid w:val="007B4ECE"/>
    <w:rsid w:val="007B5A3D"/>
    <w:rsid w:val="007B5B95"/>
    <w:rsid w:val="007B68EA"/>
    <w:rsid w:val="007B6B06"/>
    <w:rsid w:val="007C19E8"/>
    <w:rsid w:val="007C2D89"/>
    <w:rsid w:val="007C4593"/>
    <w:rsid w:val="007C5309"/>
    <w:rsid w:val="007C6069"/>
    <w:rsid w:val="007C7A39"/>
    <w:rsid w:val="007D06C4"/>
    <w:rsid w:val="007D1352"/>
    <w:rsid w:val="007D2508"/>
    <w:rsid w:val="007D346A"/>
    <w:rsid w:val="007D5AF2"/>
    <w:rsid w:val="007D6518"/>
    <w:rsid w:val="007D76BD"/>
    <w:rsid w:val="007E0BF1"/>
    <w:rsid w:val="007E29FC"/>
    <w:rsid w:val="007E5F3A"/>
    <w:rsid w:val="007F0ED8"/>
    <w:rsid w:val="007F0F63"/>
    <w:rsid w:val="007F384F"/>
    <w:rsid w:val="007F75CE"/>
    <w:rsid w:val="007F7A02"/>
    <w:rsid w:val="008013A4"/>
    <w:rsid w:val="0080159C"/>
    <w:rsid w:val="008026AC"/>
    <w:rsid w:val="008027CE"/>
    <w:rsid w:val="00802F42"/>
    <w:rsid w:val="00804383"/>
    <w:rsid w:val="00804534"/>
    <w:rsid w:val="00804BB7"/>
    <w:rsid w:val="00805770"/>
    <w:rsid w:val="00810257"/>
    <w:rsid w:val="008104F5"/>
    <w:rsid w:val="00811072"/>
    <w:rsid w:val="00811369"/>
    <w:rsid w:val="00813D47"/>
    <w:rsid w:val="00814E50"/>
    <w:rsid w:val="00815419"/>
    <w:rsid w:val="00815F0C"/>
    <w:rsid w:val="008163C8"/>
    <w:rsid w:val="00817325"/>
    <w:rsid w:val="008209E6"/>
    <w:rsid w:val="00823303"/>
    <w:rsid w:val="008233B2"/>
    <w:rsid w:val="00823A9F"/>
    <w:rsid w:val="00823C85"/>
    <w:rsid w:val="00825138"/>
    <w:rsid w:val="008269DD"/>
    <w:rsid w:val="008278E2"/>
    <w:rsid w:val="00830621"/>
    <w:rsid w:val="0083147C"/>
    <w:rsid w:val="00832B15"/>
    <w:rsid w:val="0083348C"/>
    <w:rsid w:val="00833CCD"/>
    <w:rsid w:val="00836C6B"/>
    <w:rsid w:val="008373D3"/>
    <w:rsid w:val="00840617"/>
    <w:rsid w:val="00842A47"/>
    <w:rsid w:val="00843BAE"/>
    <w:rsid w:val="00843C13"/>
    <w:rsid w:val="00844CA4"/>
    <w:rsid w:val="008454F8"/>
    <w:rsid w:val="00850CA7"/>
    <w:rsid w:val="0085173A"/>
    <w:rsid w:val="0085182B"/>
    <w:rsid w:val="008576BE"/>
    <w:rsid w:val="00857C9F"/>
    <w:rsid w:val="008603CE"/>
    <w:rsid w:val="008620FC"/>
    <w:rsid w:val="008627A5"/>
    <w:rsid w:val="00863E05"/>
    <w:rsid w:val="00865617"/>
    <w:rsid w:val="00865A8B"/>
    <w:rsid w:val="00865ACA"/>
    <w:rsid w:val="00865D28"/>
    <w:rsid w:val="00865F85"/>
    <w:rsid w:val="00867C10"/>
    <w:rsid w:val="00870439"/>
    <w:rsid w:val="00870549"/>
    <w:rsid w:val="0087067E"/>
    <w:rsid w:val="00870DA1"/>
    <w:rsid w:val="00873000"/>
    <w:rsid w:val="00881D7E"/>
    <w:rsid w:val="00883F93"/>
    <w:rsid w:val="00883FBA"/>
    <w:rsid w:val="00884DB3"/>
    <w:rsid w:val="00885A9D"/>
    <w:rsid w:val="008864F6"/>
    <w:rsid w:val="0089049D"/>
    <w:rsid w:val="008928C9"/>
    <w:rsid w:val="00892C59"/>
    <w:rsid w:val="008938DC"/>
    <w:rsid w:val="00893FD1"/>
    <w:rsid w:val="00894836"/>
    <w:rsid w:val="00895172"/>
    <w:rsid w:val="00895680"/>
    <w:rsid w:val="00896DFF"/>
    <w:rsid w:val="0089762C"/>
    <w:rsid w:val="008979C4"/>
    <w:rsid w:val="008A1893"/>
    <w:rsid w:val="008A4846"/>
    <w:rsid w:val="008A4FAD"/>
    <w:rsid w:val="008A53EF"/>
    <w:rsid w:val="008A769A"/>
    <w:rsid w:val="008B0BF4"/>
    <w:rsid w:val="008B0C9C"/>
    <w:rsid w:val="008B166D"/>
    <w:rsid w:val="008B17F4"/>
    <w:rsid w:val="008B3615"/>
    <w:rsid w:val="008B4AC4"/>
    <w:rsid w:val="008B50C8"/>
    <w:rsid w:val="008B5281"/>
    <w:rsid w:val="008B7E05"/>
    <w:rsid w:val="008C1797"/>
    <w:rsid w:val="008C219C"/>
    <w:rsid w:val="008C273F"/>
    <w:rsid w:val="008C475E"/>
    <w:rsid w:val="008C619A"/>
    <w:rsid w:val="008C7D45"/>
    <w:rsid w:val="008D0CE8"/>
    <w:rsid w:val="008D0F0F"/>
    <w:rsid w:val="008D2D1D"/>
    <w:rsid w:val="008D3367"/>
    <w:rsid w:val="008D453D"/>
    <w:rsid w:val="008D53AD"/>
    <w:rsid w:val="008D562B"/>
    <w:rsid w:val="008D5733"/>
    <w:rsid w:val="008D622B"/>
    <w:rsid w:val="008D666C"/>
    <w:rsid w:val="008D7B54"/>
    <w:rsid w:val="008E0C9B"/>
    <w:rsid w:val="008E0C9D"/>
    <w:rsid w:val="008E1648"/>
    <w:rsid w:val="008E1B3E"/>
    <w:rsid w:val="008E2319"/>
    <w:rsid w:val="008E4BB6"/>
    <w:rsid w:val="008E5518"/>
    <w:rsid w:val="008E6A84"/>
    <w:rsid w:val="008F0835"/>
    <w:rsid w:val="008F0CDC"/>
    <w:rsid w:val="008F17A3"/>
    <w:rsid w:val="008F1ED3"/>
    <w:rsid w:val="008F4C29"/>
    <w:rsid w:val="008F5B1B"/>
    <w:rsid w:val="008F70BD"/>
    <w:rsid w:val="008F788F"/>
    <w:rsid w:val="008F7EA2"/>
    <w:rsid w:val="00902722"/>
    <w:rsid w:val="009027BC"/>
    <w:rsid w:val="009062E6"/>
    <w:rsid w:val="00911BE5"/>
    <w:rsid w:val="00913CA9"/>
    <w:rsid w:val="009145AE"/>
    <w:rsid w:val="009146CE"/>
    <w:rsid w:val="00914CA7"/>
    <w:rsid w:val="00915C3E"/>
    <w:rsid w:val="009161A8"/>
    <w:rsid w:val="0091673D"/>
    <w:rsid w:val="00920878"/>
    <w:rsid w:val="009210E6"/>
    <w:rsid w:val="0092458B"/>
    <w:rsid w:val="009245F5"/>
    <w:rsid w:val="009249EC"/>
    <w:rsid w:val="009273B3"/>
    <w:rsid w:val="009305B5"/>
    <w:rsid w:val="00931C17"/>
    <w:rsid w:val="00932C34"/>
    <w:rsid w:val="009341B8"/>
    <w:rsid w:val="00934772"/>
    <w:rsid w:val="00934C12"/>
    <w:rsid w:val="0093647F"/>
    <w:rsid w:val="00941D3F"/>
    <w:rsid w:val="009429D5"/>
    <w:rsid w:val="00942BF1"/>
    <w:rsid w:val="00945180"/>
    <w:rsid w:val="00945428"/>
    <w:rsid w:val="0094607B"/>
    <w:rsid w:val="00953604"/>
    <w:rsid w:val="009610DC"/>
    <w:rsid w:val="009612B7"/>
    <w:rsid w:val="0096134A"/>
    <w:rsid w:val="00961490"/>
    <w:rsid w:val="0096381A"/>
    <w:rsid w:val="00965E04"/>
    <w:rsid w:val="00965E5C"/>
    <w:rsid w:val="009674AD"/>
    <w:rsid w:val="0097094E"/>
    <w:rsid w:val="00970CDC"/>
    <w:rsid w:val="00973401"/>
    <w:rsid w:val="00977010"/>
    <w:rsid w:val="009771F3"/>
    <w:rsid w:val="00977D02"/>
    <w:rsid w:val="009809BB"/>
    <w:rsid w:val="00982871"/>
    <w:rsid w:val="00982D22"/>
    <w:rsid w:val="0098364B"/>
    <w:rsid w:val="00983BF9"/>
    <w:rsid w:val="009911AF"/>
    <w:rsid w:val="00991875"/>
    <w:rsid w:val="00991F92"/>
    <w:rsid w:val="00992985"/>
    <w:rsid w:val="00993889"/>
    <w:rsid w:val="0099551B"/>
    <w:rsid w:val="00997BF1"/>
    <w:rsid w:val="009A089C"/>
    <w:rsid w:val="009A118E"/>
    <w:rsid w:val="009A1D0A"/>
    <w:rsid w:val="009A1ED1"/>
    <w:rsid w:val="009A21CD"/>
    <w:rsid w:val="009A278C"/>
    <w:rsid w:val="009A283F"/>
    <w:rsid w:val="009A2BC2"/>
    <w:rsid w:val="009A3EEC"/>
    <w:rsid w:val="009A42C1"/>
    <w:rsid w:val="009A45B0"/>
    <w:rsid w:val="009A5429"/>
    <w:rsid w:val="009A72AD"/>
    <w:rsid w:val="009B09E0"/>
    <w:rsid w:val="009B0BC5"/>
    <w:rsid w:val="009B1247"/>
    <w:rsid w:val="009B6029"/>
    <w:rsid w:val="009B6971"/>
    <w:rsid w:val="009C27F1"/>
    <w:rsid w:val="009C3152"/>
    <w:rsid w:val="009C4143"/>
    <w:rsid w:val="009C4936"/>
    <w:rsid w:val="009C4CFA"/>
    <w:rsid w:val="009C5070"/>
    <w:rsid w:val="009D112C"/>
    <w:rsid w:val="009D3A3E"/>
    <w:rsid w:val="009D47FA"/>
    <w:rsid w:val="009D507E"/>
    <w:rsid w:val="009D50D2"/>
    <w:rsid w:val="009D6BCA"/>
    <w:rsid w:val="009D7333"/>
    <w:rsid w:val="009E0F62"/>
    <w:rsid w:val="009E4A58"/>
    <w:rsid w:val="009E550D"/>
    <w:rsid w:val="009E5A2D"/>
    <w:rsid w:val="009E5AB2"/>
    <w:rsid w:val="009E6219"/>
    <w:rsid w:val="009E687D"/>
    <w:rsid w:val="009F03B3"/>
    <w:rsid w:val="009F07A5"/>
    <w:rsid w:val="009F23ED"/>
    <w:rsid w:val="009F51E8"/>
    <w:rsid w:val="00A001A3"/>
    <w:rsid w:val="00A005CE"/>
    <w:rsid w:val="00A01757"/>
    <w:rsid w:val="00A028C0"/>
    <w:rsid w:val="00A02BAE"/>
    <w:rsid w:val="00A02DA9"/>
    <w:rsid w:val="00A04C32"/>
    <w:rsid w:val="00A06A6B"/>
    <w:rsid w:val="00A07E47"/>
    <w:rsid w:val="00A102D7"/>
    <w:rsid w:val="00A1127A"/>
    <w:rsid w:val="00A11DDF"/>
    <w:rsid w:val="00A129D0"/>
    <w:rsid w:val="00A12C33"/>
    <w:rsid w:val="00A138BA"/>
    <w:rsid w:val="00A14C8E"/>
    <w:rsid w:val="00A153D9"/>
    <w:rsid w:val="00A15F09"/>
    <w:rsid w:val="00A169B6"/>
    <w:rsid w:val="00A2271D"/>
    <w:rsid w:val="00A236E5"/>
    <w:rsid w:val="00A237D5"/>
    <w:rsid w:val="00A27BAC"/>
    <w:rsid w:val="00A30EFC"/>
    <w:rsid w:val="00A31984"/>
    <w:rsid w:val="00A32553"/>
    <w:rsid w:val="00A32D73"/>
    <w:rsid w:val="00A32ECE"/>
    <w:rsid w:val="00A3367B"/>
    <w:rsid w:val="00A3597D"/>
    <w:rsid w:val="00A40091"/>
    <w:rsid w:val="00A4030F"/>
    <w:rsid w:val="00A40EA7"/>
    <w:rsid w:val="00A41C79"/>
    <w:rsid w:val="00A41CB5"/>
    <w:rsid w:val="00A42CDF"/>
    <w:rsid w:val="00A4452E"/>
    <w:rsid w:val="00A4472C"/>
    <w:rsid w:val="00A44E69"/>
    <w:rsid w:val="00A4661E"/>
    <w:rsid w:val="00A546FE"/>
    <w:rsid w:val="00A55BD6"/>
    <w:rsid w:val="00A55D50"/>
    <w:rsid w:val="00A57142"/>
    <w:rsid w:val="00A63771"/>
    <w:rsid w:val="00A648CD"/>
    <w:rsid w:val="00A6537A"/>
    <w:rsid w:val="00A67866"/>
    <w:rsid w:val="00A70B07"/>
    <w:rsid w:val="00A723F8"/>
    <w:rsid w:val="00A7530A"/>
    <w:rsid w:val="00A77CCB"/>
    <w:rsid w:val="00A82CE9"/>
    <w:rsid w:val="00A83D8D"/>
    <w:rsid w:val="00A8446B"/>
    <w:rsid w:val="00A8473F"/>
    <w:rsid w:val="00A862D6"/>
    <w:rsid w:val="00A8715E"/>
    <w:rsid w:val="00A9295B"/>
    <w:rsid w:val="00A93B09"/>
    <w:rsid w:val="00A952D7"/>
    <w:rsid w:val="00A963F7"/>
    <w:rsid w:val="00A96AD8"/>
    <w:rsid w:val="00AA052C"/>
    <w:rsid w:val="00AA1E45"/>
    <w:rsid w:val="00AA2A24"/>
    <w:rsid w:val="00AA4286"/>
    <w:rsid w:val="00AA42C0"/>
    <w:rsid w:val="00AA456B"/>
    <w:rsid w:val="00AA57F5"/>
    <w:rsid w:val="00AA5A84"/>
    <w:rsid w:val="00AA5E5E"/>
    <w:rsid w:val="00AA672E"/>
    <w:rsid w:val="00AA6EC9"/>
    <w:rsid w:val="00AB0013"/>
    <w:rsid w:val="00AB4651"/>
    <w:rsid w:val="00AB4BC8"/>
    <w:rsid w:val="00AB5780"/>
    <w:rsid w:val="00AB6309"/>
    <w:rsid w:val="00AB6C5F"/>
    <w:rsid w:val="00AB7129"/>
    <w:rsid w:val="00AB7CD9"/>
    <w:rsid w:val="00AC048F"/>
    <w:rsid w:val="00AC27A6"/>
    <w:rsid w:val="00AC30F7"/>
    <w:rsid w:val="00AC3A5A"/>
    <w:rsid w:val="00AC4D95"/>
    <w:rsid w:val="00AC5DF4"/>
    <w:rsid w:val="00AD0AEF"/>
    <w:rsid w:val="00AD11B7"/>
    <w:rsid w:val="00AD19D0"/>
    <w:rsid w:val="00AD1A94"/>
    <w:rsid w:val="00AD1C05"/>
    <w:rsid w:val="00AD2278"/>
    <w:rsid w:val="00AD3367"/>
    <w:rsid w:val="00AD4126"/>
    <w:rsid w:val="00AD421C"/>
    <w:rsid w:val="00AD44FA"/>
    <w:rsid w:val="00AE070A"/>
    <w:rsid w:val="00AE101C"/>
    <w:rsid w:val="00AE13FE"/>
    <w:rsid w:val="00AF09B1"/>
    <w:rsid w:val="00AF0C18"/>
    <w:rsid w:val="00AF0F63"/>
    <w:rsid w:val="00AF304F"/>
    <w:rsid w:val="00AF3698"/>
    <w:rsid w:val="00AF47C5"/>
    <w:rsid w:val="00AF4DAB"/>
    <w:rsid w:val="00AF5398"/>
    <w:rsid w:val="00AF788D"/>
    <w:rsid w:val="00B0012F"/>
    <w:rsid w:val="00B049AF"/>
    <w:rsid w:val="00B07242"/>
    <w:rsid w:val="00B10534"/>
    <w:rsid w:val="00B113DB"/>
    <w:rsid w:val="00B11D8A"/>
    <w:rsid w:val="00B12981"/>
    <w:rsid w:val="00B12FD2"/>
    <w:rsid w:val="00B13881"/>
    <w:rsid w:val="00B147DD"/>
    <w:rsid w:val="00B156FD"/>
    <w:rsid w:val="00B21271"/>
    <w:rsid w:val="00B21F61"/>
    <w:rsid w:val="00B23045"/>
    <w:rsid w:val="00B261F1"/>
    <w:rsid w:val="00B265BC"/>
    <w:rsid w:val="00B31FB1"/>
    <w:rsid w:val="00B330C6"/>
    <w:rsid w:val="00B3369C"/>
    <w:rsid w:val="00B3375F"/>
    <w:rsid w:val="00B33952"/>
    <w:rsid w:val="00B33C5E"/>
    <w:rsid w:val="00B342F4"/>
    <w:rsid w:val="00B34369"/>
    <w:rsid w:val="00B34DC2"/>
    <w:rsid w:val="00B378E5"/>
    <w:rsid w:val="00B4346D"/>
    <w:rsid w:val="00B440F4"/>
    <w:rsid w:val="00B447A5"/>
    <w:rsid w:val="00B45570"/>
    <w:rsid w:val="00B45F15"/>
    <w:rsid w:val="00B4654C"/>
    <w:rsid w:val="00B47293"/>
    <w:rsid w:val="00B5019D"/>
    <w:rsid w:val="00B5040B"/>
    <w:rsid w:val="00B52120"/>
    <w:rsid w:val="00B537B8"/>
    <w:rsid w:val="00B54ABC"/>
    <w:rsid w:val="00B56FBE"/>
    <w:rsid w:val="00B62591"/>
    <w:rsid w:val="00B62B58"/>
    <w:rsid w:val="00B65149"/>
    <w:rsid w:val="00B66567"/>
    <w:rsid w:val="00B66F52"/>
    <w:rsid w:val="00B66FE5"/>
    <w:rsid w:val="00B70413"/>
    <w:rsid w:val="00B71AA5"/>
    <w:rsid w:val="00B72880"/>
    <w:rsid w:val="00B758BF"/>
    <w:rsid w:val="00B827A6"/>
    <w:rsid w:val="00B82E9E"/>
    <w:rsid w:val="00B831CE"/>
    <w:rsid w:val="00B84BC9"/>
    <w:rsid w:val="00B86677"/>
    <w:rsid w:val="00B87131"/>
    <w:rsid w:val="00B87FCA"/>
    <w:rsid w:val="00B91566"/>
    <w:rsid w:val="00B939B1"/>
    <w:rsid w:val="00B96D40"/>
    <w:rsid w:val="00B97386"/>
    <w:rsid w:val="00B9757F"/>
    <w:rsid w:val="00BA263B"/>
    <w:rsid w:val="00BA42B2"/>
    <w:rsid w:val="00BA479A"/>
    <w:rsid w:val="00BA58D4"/>
    <w:rsid w:val="00BA5B9E"/>
    <w:rsid w:val="00BA7C9A"/>
    <w:rsid w:val="00BB0A15"/>
    <w:rsid w:val="00BB1E0F"/>
    <w:rsid w:val="00BB2A1F"/>
    <w:rsid w:val="00BB4C63"/>
    <w:rsid w:val="00BB5F8F"/>
    <w:rsid w:val="00BB657A"/>
    <w:rsid w:val="00BB7B2F"/>
    <w:rsid w:val="00BC1545"/>
    <w:rsid w:val="00BC1A4E"/>
    <w:rsid w:val="00BC1FFC"/>
    <w:rsid w:val="00BC5D45"/>
    <w:rsid w:val="00BC5DC7"/>
    <w:rsid w:val="00BC6B8B"/>
    <w:rsid w:val="00BC73D8"/>
    <w:rsid w:val="00BD0BE1"/>
    <w:rsid w:val="00BD52D7"/>
    <w:rsid w:val="00BD5AD2"/>
    <w:rsid w:val="00BD6082"/>
    <w:rsid w:val="00BE22F3"/>
    <w:rsid w:val="00BE5546"/>
    <w:rsid w:val="00BE5B52"/>
    <w:rsid w:val="00BE7B8D"/>
    <w:rsid w:val="00BF0993"/>
    <w:rsid w:val="00BF0D52"/>
    <w:rsid w:val="00BF10A9"/>
    <w:rsid w:val="00BF1703"/>
    <w:rsid w:val="00BF1A96"/>
    <w:rsid w:val="00BF231C"/>
    <w:rsid w:val="00BF2D7C"/>
    <w:rsid w:val="00BF51E5"/>
    <w:rsid w:val="00BF6532"/>
    <w:rsid w:val="00BF74A6"/>
    <w:rsid w:val="00C013AD"/>
    <w:rsid w:val="00C01EE9"/>
    <w:rsid w:val="00C01FFD"/>
    <w:rsid w:val="00C03C82"/>
    <w:rsid w:val="00C03CEF"/>
    <w:rsid w:val="00C04904"/>
    <w:rsid w:val="00C056B3"/>
    <w:rsid w:val="00C078FF"/>
    <w:rsid w:val="00C103E5"/>
    <w:rsid w:val="00C13319"/>
    <w:rsid w:val="00C13EE9"/>
    <w:rsid w:val="00C14D87"/>
    <w:rsid w:val="00C1691C"/>
    <w:rsid w:val="00C21540"/>
    <w:rsid w:val="00C21906"/>
    <w:rsid w:val="00C21BFA"/>
    <w:rsid w:val="00C24C8D"/>
    <w:rsid w:val="00C25FE2"/>
    <w:rsid w:val="00C26B53"/>
    <w:rsid w:val="00C279B2"/>
    <w:rsid w:val="00C31FD1"/>
    <w:rsid w:val="00C33E50"/>
    <w:rsid w:val="00C34C20"/>
    <w:rsid w:val="00C35A3E"/>
    <w:rsid w:val="00C3789B"/>
    <w:rsid w:val="00C404A9"/>
    <w:rsid w:val="00C42130"/>
    <w:rsid w:val="00C423A4"/>
    <w:rsid w:val="00C44BF5"/>
    <w:rsid w:val="00C4516F"/>
    <w:rsid w:val="00C45B1E"/>
    <w:rsid w:val="00C466E9"/>
    <w:rsid w:val="00C524E2"/>
    <w:rsid w:val="00C55232"/>
    <w:rsid w:val="00C553A4"/>
    <w:rsid w:val="00C55A06"/>
    <w:rsid w:val="00C55D03"/>
    <w:rsid w:val="00C57661"/>
    <w:rsid w:val="00C601BC"/>
    <w:rsid w:val="00C6329F"/>
    <w:rsid w:val="00C63340"/>
    <w:rsid w:val="00C643F9"/>
    <w:rsid w:val="00C64E95"/>
    <w:rsid w:val="00C71372"/>
    <w:rsid w:val="00C72410"/>
    <w:rsid w:val="00C7287F"/>
    <w:rsid w:val="00C72F0E"/>
    <w:rsid w:val="00C75B88"/>
    <w:rsid w:val="00C80CB8"/>
    <w:rsid w:val="00C819F8"/>
    <w:rsid w:val="00C81BF2"/>
    <w:rsid w:val="00C8248C"/>
    <w:rsid w:val="00C8426F"/>
    <w:rsid w:val="00C84E33"/>
    <w:rsid w:val="00C86D6F"/>
    <w:rsid w:val="00C874C4"/>
    <w:rsid w:val="00C905FC"/>
    <w:rsid w:val="00C92D03"/>
    <w:rsid w:val="00C9319C"/>
    <w:rsid w:val="00C9435D"/>
    <w:rsid w:val="00C9517F"/>
    <w:rsid w:val="00C96741"/>
    <w:rsid w:val="00C96D94"/>
    <w:rsid w:val="00CA2D1B"/>
    <w:rsid w:val="00CA662A"/>
    <w:rsid w:val="00CA7AFD"/>
    <w:rsid w:val="00CA7C3C"/>
    <w:rsid w:val="00CB0189"/>
    <w:rsid w:val="00CB0BA2"/>
    <w:rsid w:val="00CB1A42"/>
    <w:rsid w:val="00CB1B0C"/>
    <w:rsid w:val="00CB2C0B"/>
    <w:rsid w:val="00CB4115"/>
    <w:rsid w:val="00CB517D"/>
    <w:rsid w:val="00CB5FD6"/>
    <w:rsid w:val="00CC038D"/>
    <w:rsid w:val="00CC39FF"/>
    <w:rsid w:val="00CC3C2F"/>
    <w:rsid w:val="00CC4AC8"/>
    <w:rsid w:val="00CC5233"/>
    <w:rsid w:val="00CC5DE6"/>
    <w:rsid w:val="00CC5E23"/>
    <w:rsid w:val="00CC6E4E"/>
    <w:rsid w:val="00CC6FE8"/>
    <w:rsid w:val="00CC7202"/>
    <w:rsid w:val="00CD11C3"/>
    <w:rsid w:val="00CD1DEC"/>
    <w:rsid w:val="00CD2808"/>
    <w:rsid w:val="00CD28BF"/>
    <w:rsid w:val="00CD4092"/>
    <w:rsid w:val="00CD4A20"/>
    <w:rsid w:val="00CD50A1"/>
    <w:rsid w:val="00CD519E"/>
    <w:rsid w:val="00CE0C4F"/>
    <w:rsid w:val="00CE2112"/>
    <w:rsid w:val="00CE2814"/>
    <w:rsid w:val="00CE30EA"/>
    <w:rsid w:val="00CE7358"/>
    <w:rsid w:val="00CF048A"/>
    <w:rsid w:val="00CF0933"/>
    <w:rsid w:val="00CF155A"/>
    <w:rsid w:val="00CF2947"/>
    <w:rsid w:val="00CF686F"/>
    <w:rsid w:val="00CF6E60"/>
    <w:rsid w:val="00CF78BB"/>
    <w:rsid w:val="00CF7BCA"/>
    <w:rsid w:val="00D008FD"/>
    <w:rsid w:val="00D01FC7"/>
    <w:rsid w:val="00D02456"/>
    <w:rsid w:val="00D0321C"/>
    <w:rsid w:val="00D035EC"/>
    <w:rsid w:val="00D06AB1"/>
    <w:rsid w:val="00D072ED"/>
    <w:rsid w:val="00D07A16"/>
    <w:rsid w:val="00D1067E"/>
    <w:rsid w:val="00D10F50"/>
    <w:rsid w:val="00D11272"/>
    <w:rsid w:val="00D11967"/>
    <w:rsid w:val="00D126F5"/>
    <w:rsid w:val="00D1458D"/>
    <w:rsid w:val="00D1489E"/>
    <w:rsid w:val="00D20737"/>
    <w:rsid w:val="00D21E81"/>
    <w:rsid w:val="00D223DE"/>
    <w:rsid w:val="00D24B2A"/>
    <w:rsid w:val="00D25E37"/>
    <w:rsid w:val="00D2661A"/>
    <w:rsid w:val="00D27582"/>
    <w:rsid w:val="00D32719"/>
    <w:rsid w:val="00D329BB"/>
    <w:rsid w:val="00D33333"/>
    <w:rsid w:val="00D347FD"/>
    <w:rsid w:val="00D352A2"/>
    <w:rsid w:val="00D37002"/>
    <w:rsid w:val="00D40C44"/>
    <w:rsid w:val="00D412FE"/>
    <w:rsid w:val="00D4162B"/>
    <w:rsid w:val="00D434B3"/>
    <w:rsid w:val="00D4514F"/>
    <w:rsid w:val="00D451E2"/>
    <w:rsid w:val="00D4545E"/>
    <w:rsid w:val="00D45E89"/>
    <w:rsid w:val="00D45E8D"/>
    <w:rsid w:val="00D466AE"/>
    <w:rsid w:val="00D4734F"/>
    <w:rsid w:val="00D4736F"/>
    <w:rsid w:val="00D51BF3"/>
    <w:rsid w:val="00D61AD4"/>
    <w:rsid w:val="00D63276"/>
    <w:rsid w:val="00D66846"/>
    <w:rsid w:val="00D675FB"/>
    <w:rsid w:val="00D71F25"/>
    <w:rsid w:val="00D72252"/>
    <w:rsid w:val="00D7620F"/>
    <w:rsid w:val="00D77031"/>
    <w:rsid w:val="00D83B12"/>
    <w:rsid w:val="00D84941"/>
    <w:rsid w:val="00D84F5E"/>
    <w:rsid w:val="00D84FA1"/>
    <w:rsid w:val="00D851F0"/>
    <w:rsid w:val="00D86DB7"/>
    <w:rsid w:val="00D926D0"/>
    <w:rsid w:val="00D93030"/>
    <w:rsid w:val="00D9329A"/>
    <w:rsid w:val="00D950E1"/>
    <w:rsid w:val="00D952A6"/>
    <w:rsid w:val="00D97474"/>
    <w:rsid w:val="00D97F99"/>
    <w:rsid w:val="00DA1E08"/>
    <w:rsid w:val="00DA24F8"/>
    <w:rsid w:val="00DA28E8"/>
    <w:rsid w:val="00DA38D3"/>
    <w:rsid w:val="00DA3932"/>
    <w:rsid w:val="00DA64F8"/>
    <w:rsid w:val="00DA6C15"/>
    <w:rsid w:val="00DB1451"/>
    <w:rsid w:val="00DB38EE"/>
    <w:rsid w:val="00DB498B"/>
    <w:rsid w:val="00DB66CA"/>
    <w:rsid w:val="00DB6BCA"/>
    <w:rsid w:val="00DC0321"/>
    <w:rsid w:val="00DC1611"/>
    <w:rsid w:val="00DC3067"/>
    <w:rsid w:val="00DC370B"/>
    <w:rsid w:val="00DC46D4"/>
    <w:rsid w:val="00DC5B90"/>
    <w:rsid w:val="00DD00FF"/>
    <w:rsid w:val="00DD0619"/>
    <w:rsid w:val="00DD07FB"/>
    <w:rsid w:val="00DD14E4"/>
    <w:rsid w:val="00DD25C6"/>
    <w:rsid w:val="00DD4F44"/>
    <w:rsid w:val="00DD54B0"/>
    <w:rsid w:val="00DD57EE"/>
    <w:rsid w:val="00DD6BCC"/>
    <w:rsid w:val="00DD79B9"/>
    <w:rsid w:val="00DE0A4B"/>
    <w:rsid w:val="00DE2410"/>
    <w:rsid w:val="00DE2939"/>
    <w:rsid w:val="00DE51F0"/>
    <w:rsid w:val="00DE6E81"/>
    <w:rsid w:val="00DE703F"/>
    <w:rsid w:val="00DE7595"/>
    <w:rsid w:val="00DF1961"/>
    <w:rsid w:val="00DF3C4C"/>
    <w:rsid w:val="00DF44DE"/>
    <w:rsid w:val="00DF465A"/>
    <w:rsid w:val="00DF4C69"/>
    <w:rsid w:val="00DF5EA9"/>
    <w:rsid w:val="00E00E70"/>
    <w:rsid w:val="00E01138"/>
    <w:rsid w:val="00E02DFB"/>
    <w:rsid w:val="00E030F9"/>
    <w:rsid w:val="00E0311A"/>
    <w:rsid w:val="00E03138"/>
    <w:rsid w:val="00E06404"/>
    <w:rsid w:val="00E06B2D"/>
    <w:rsid w:val="00E11A85"/>
    <w:rsid w:val="00E12495"/>
    <w:rsid w:val="00E154D6"/>
    <w:rsid w:val="00E15CCD"/>
    <w:rsid w:val="00E202EF"/>
    <w:rsid w:val="00E210B5"/>
    <w:rsid w:val="00E219D8"/>
    <w:rsid w:val="00E2552F"/>
    <w:rsid w:val="00E3137A"/>
    <w:rsid w:val="00E32CCF"/>
    <w:rsid w:val="00E34A98"/>
    <w:rsid w:val="00E35D1E"/>
    <w:rsid w:val="00E364F9"/>
    <w:rsid w:val="00E365FA"/>
    <w:rsid w:val="00E40C94"/>
    <w:rsid w:val="00E4129A"/>
    <w:rsid w:val="00E426CC"/>
    <w:rsid w:val="00E44966"/>
    <w:rsid w:val="00E44A83"/>
    <w:rsid w:val="00E46910"/>
    <w:rsid w:val="00E502C1"/>
    <w:rsid w:val="00E502DD"/>
    <w:rsid w:val="00E50D3A"/>
    <w:rsid w:val="00E51387"/>
    <w:rsid w:val="00E51E68"/>
    <w:rsid w:val="00E52EFD"/>
    <w:rsid w:val="00E5348A"/>
    <w:rsid w:val="00E5408A"/>
    <w:rsid w:val="00E5486D"/>
    <w:rsid w:val="00E54E04"/>
    <w:rsid w:val="00E56800"/>
    <w:rsid w:val="00E60292"/>
    <w:rsid w:val="00E60CD7"/>
    <w:rsid w:val="00E618D7"/>
    <w:rsid w:val="00E62A37"/>
    <w:rsid w:val="00E62FF9"/>
    <w:rsid w:val="00E635D6"/>
    <w:rsid w:val="00E639BC"/>
    <w:rsid w:val="00E66405"/>
    <w:rsid w:val="00E664CC"/>
    <w:rsid w:val="00E70388"/>
    <w:rsid w:val="00E70F92"/>
    <w:rsid w:val="00E716B4"/>
    <w:rsid w:val="00E72727"/>
    <w:rsid w:val="00E74C54"/>
    <w:rsid w:val="00E77A03"/>
    <w:rsid w:val="00E822E8"/>
    <w:rsid w:val="00E82554"/>
    <w:rsid w:val="00E82606"/>
    <w:rsid w:val="00E83CBD"/>
    <w:rsid w:val="00E846C8"/>
    <w:rsid w:val="00E84957"/>
    <w:rsid w:val="00E84A55"/>
    <w:rsid w:val="00E85BFF"/>
    <w:rsid w:val="00E90391"/>
    <w:rsid w:val="00E906C2"/>
    <w:rsid w:val="00E9311F"/>
    <w:rsid w:val="00E934D1"/>
    <w:rsid w:val="00E94AF0"/>
    <w:rsid w:val="00E95D13"/>
    <w:rsid w:val="00E95DD3"/>
    <w:rsid w:val="00E969D5"/>
    <w:rsid w:val="00EA570D"/>
    <w:rsid w:val="00EA58D1"/>
    <w:rsid w:val="00EA61BC"/>
    <w:rsid w:val="00EA681A"/>
    <w:rsid w:val="00EA735B"/>
    <w:rsid w:val="00EB1E69"/>
    <w:rsid w:val="00EB2086"/>
    <w:rsid w:val="00EB5EDF"/>
    <w:rsid w:val="00EB60FE"/>
    <w:rsid w:val="00EB67C3"/>
    <w:rsid w:val="00EB74DB"/>
    <w:rsid w:val="00EC0A40"/>
    <w:rsid w:val="00EC3874"/>
    <w:rsid w:val="00EC5359"/>
    <w:rsid w:val="00EC562A"/>
    <w:rsid w:val="00ED067A"/>
    <w:rsid w:val="00ED2B50"/>
    <w:rsid w:val="00ED3AC0"/>
    <w:rsid w:val="00EE0350"/>
    <w:rsid w:val="00EE03DF"/>
    <w:rsid w:val="00EE0719"/>
    <w:rsid w:val="00EE0E80"/>
    <w:rsid w:val="00EE613F"/>
    <w:rsid w:val="00EE7295"/>
    <w:rsid w:val="00EE7869"/>
    <w:rsid w:val="00EF054A"/>
    <w:rsid w:val="00EF3235"/>
    <w:rsid w:val="00EF4FA9"/>
    <w:rsid w:val="00EF7E72"/>
    <w:rsid w:val="00F02C0F"/>
    <w:rsid w:val="00F06645"/>
    <w:rsid w:val="00F06B98"/>
    <w:rsid w:val="00F06D37"/>
    <w:rsid w:val="00F07B9D"/>
    <w:rsid w:val="00F11586"/>
    <w:rsid w:val="00F1183B"/>
    <w:rsid w:val="00F11C9F"/>
    <w:rsid w:val="00F12263"/>
    <w:rsid w:val="00F1409D"/>
    <w:rsid w:val="00F14214"/>
    <w:rsid w:val="00F146BD"/>
    <w:rsid w:val="00F157A9"/>
    <w:rsid w:val="00F24B68"/>
    <w:rsid w:val="00F24CE6"/>
    <w:rsid w:val="00F25BB6"/>
    <w:rsid w:val="00F26B7E"/>
    <w:rsid w:val="00F27A3B"/>
    <w:rsid w:val="00F33817"/>
    <w:rsid w:val="00F33BFC"/>
    <w:rsid w:val="00F35AB2"/>
    <w:rsid w:val="00F37BEF"/>
    <w:rsid w:val="00F42070"/>
    <w:rsid w:val="00F420D5"/>
    <w:rsid w:val="00F428EF"/>
    <w:rsid w:val="00F451EA"/>
    <w:rsid w:val="00F45447"/>
    <w:rsid w:val="00F456C6"/>
    <w:rsid w:val="00F4577B"/>
    <w:rsid w:val="00F46496"/>
    <w:rsid w:val="00F474D0"/>
    <w:rsid w:val="00F50179"/>
    <w:rsid w:val="00F52077"/>
    <w:rsid w:val="00F522B6"/>
    <w:rsid w:val="00F539C6"/>
    <w:rsid w:val="00F56511"/>
    <w:rsid w:val="00F57227"/>
    <w:rsid w:val="00F609F6"/>
    <w:rsid w:val="00F6194E"/>
    <w:rsid w:val="00F623AC"/>
    <w:rsid w:val="00F640FC"/>
    <w:rsid w:val="00F6412A"/>
    <w:rsid w:val="00F65893"/>
    <w:rsid w:val="00F658FD"/>
    <w:rsid w:val="00F66A4A"/>
    <w:rsid w:val="00F71E22"/>
    <w:rsid w:val="00F72142"/>
    <w:rsid w:val="00F72AE7"/>
    <w:rsid w:val="00F771DB"/>
    <w:rsid w:val="00F84934"/>
    <w:rsid w:val="00F84FD0"/>
    <w:rsid w:val="00F859A8"/>
    <w:rsid w:val="00F9108B"/>
    <w:rsid w:val="00F91349"/>
    <w:rsid w:val="00F92DBE"/>
    <w:rsid w:val="00F93A8A"/>
    <w:rsid w:val="00F95248"/>
    <w:rsid w:val="00F956A9"/>
    <w:rsid w:val="00F963ED"/>
    <w:rsid w:val="00F966CF"/>
    <w:rsid w:val="00F96CAE"/>
    <w:rsid w:val="00F97C99"/>
    <w:rsid w:val="00FA2A8E"/>
    <w:rsid w:val="00FA662D"/>
    <w:rsid w:val="00FA73B1"/>
    <w:rsid w:val="00FB0CB9"/>
    <w:rsid w:val="00FB3B0F"/>
    <w:rsid w:val="00FB45F1"/>
    <w:rsid w:val="00FB4A72"/>
    <w:rsid w:val="00FB54E8"/>
    <w:rsid w:val="00FB7054"/>
    <w:rsid w:val="00FC17B7"/>
    <w:rsid w:val="00FC2CB7"/>
    <w:rsid w:val="00FC32BB"/>
    <w:rsid w:val="00FC4090"/>
    <w:rsid w:val="00FC4AD1"/>
    <w:rsid w:val="00FC55B4"/>
    <w:rsid w:val="00FD00E6"/>
    <w:rsid w:val="00FD09A1"/>
    <w:rsid w:val="00FD2A7C"/>
    <w:rsid w:val="00FD59EB"/>
    <w:rsid w:val="00FD7299"/>
    <w:rsid w:val="00FE10A1"/>
    <w:rsid w:val="00FE1FBE"/>
    <w:rsid w:val="00FE3901"/>
    <w:rsid w:val="00FE41CF"/>
    <w:rsid w:val="00FE4BCE"/>
    <w:rsid w:val="00FE54AE"/>
    <w:rsid w:val="00FE576A"/>
    <w:rsid w:val="00FE7E79"/>
    <w:rsid w:val="00FF3E7D"/>
    <w:rsid w:val="00FF5B99"/>
    <w:rsid w:val="00FF730C"/>
    <w:rsid w:val="00FF73F4"/>
    <w:rsid w:val="00FF7CE4"/>
    <w:rsid w:val="00FF7E39"/>
    <w:rsid w:val="0AC50EAD"/>
    <w:rsid w:val="0C082EDE"/>
    <w:rsid w:val="0DF46E11"/>
    <w:rsid w:val="0EA24254"/>
    <w:rsid w:val="0F2F782D"/>
    <w:rsid w:val="111C6C83"/>
    <w:rsid w:val="113B6DBC"/>
    <w:rsid w:val="15B71FC2"/>
    <w:rsid w:val="18052E77"/>
    <w:rsid w:val="1CE30AD1"/>
    <w:rsid w:val="292D5933"/>
    <w:rsid w:val="38B93DC5"/>
    <w:rsid w:val="3CFC0724"/>
    <w:rsid w:val="47394A4E"/>
    <w:rsid w:val="4EAF7F87"/>
    <w:rsid w:val="59EF305E"/>
    <w:rsid w:val="67904AA8"/>
    <w:rsid w:val="69CA2AAF"/>
    <w:rsid w:val="6D924E32"/>
    <w:rsid w:val="70FF0FCC"/>
    <w:rsid w:val="72727F2D"/>
    <w:rsid w:val="7661277A"/>
    <w:rsid w:val="7F0601FC"/>
    <w:rsid w:val="7F766A4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8"/>
    <w:qFormat/>
    <w:uiPriority w:val="0"/>
    <w:pPr>
      <w:spacing w:after="120"/>
    </w:pPr>
  </w:style>
  <w:style w:type="paragraph" w:styleId="14">
    <w:name w:val="Body Text Indent"/>
    <w:basedOn w:val="1"/>
    <w:link w:val="233"/>
    <w:semiHidden/>
    <w:unhideWhenUsed/>
    <w:qFormat/>
    <w:uiPriority w:val="99"/>
    <w:pPr>
      <w:spacing w:after="120"/>
      <w:ind w:left="420" w:leftChars="20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Date"/>
    <w:basedOn w:val="1"/>
    <w:next w:val="1"/>
    <w:link w:val="234"/>
    <w:semiHidden/>
    <w:qFormat/>
    <w:uiPriority w:val="0"/>
    <w:pPr>
      <w:adjustRightInd/>
      <w:spacing w:line="240" w:lineRule="auto"/>
    </w:pPr>
    <w:rPr>
      <w:rFonts w:ascii="Times New Roman" w:hAnsi="Times New Roman"/>
      <w:szCs w:val="20"/>
    </w:rPr>
  </w:style>
  <w:style w:type="paragraph" w:styleId="18">
    <w:name w:val="Balloon Text"/>
    <w:basedOn w:val="1"/>
    <w:link w:val="47"/>
    <w:semiHidden/>
    <w:unhideWhenUsed/>
    <w:qFormat/>
    <w:uiPriority w:val="99"/>
    <w:rPr>
      <w:sz w:val="18"/>
      <w:szCs w:val="18"/>
    </w:rPr>
  </w:style>
  <w:style w:type="paragraph" w:styleId="19">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5"/>
    <w:qFormat/>
    <w:uiPriority w:val="99"/>
    <w:pPr>
      <w:tabs>
        <w:tab w:val="center" w:pos="4153"/>
        <w:tab w:val="right" w:pos="8306"/>
      </w:tabs>
      <w:adjustRightInd/>
      <w:snapToGrid w:val="0"/>
      <w:jc w:val="center"/>
    </w:pPr>
    <w:rPr>
      <w:sz w:val="18"/>
      <w:szCs w:val="18"/>
    </w:rPr>
  </w:style>
  <w:style w:type="paragraph" w:styleId="21">
    <w:name w:val="toc 1"/>
    <w:basedOn w:val="1"/>
    <w:next w:val="1"/>
    <w:unhideWhenUsed/>
    <w:qFormat/>
    <w:uiPriority w:val="39"/>
    <w:rPr>
      <w:rFonts w:ascii="宋体"/>
    </w:rPr>
  </w:style>
  <w:style w:type="paragraph" w:styleId="22">
    <w:name w:val="toc 4"/>
    <w:basedOn w:val="1"/>
    <w:next w:val="1"/>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unhideWhenUsed/>
    <w:qFormat/>
    <w:uiPriority w:val="39"/>
    <w:pPr>
      <w:spacing w:line="300" w:lineRule="exact"/>
      <w:ind w:left="1049"/>
    </w:pPr>
    <w:rPr>
      <w:rFonts w:ascii="宋体"/>
    </w:rPr>
  </w:style>
  <w:style w:type="paragraph" w:styleId="25">
    <w:name w:val="table of figures"/>
    <w:basedOn w:val="1"/>
    <w:next w:val="1"/>
    <w:semiHidden/>
    <w:qFormat/>
    <w:uiPriority w:val="0"/>
    <w:pPr>
      <w:adjustRightInd/>
      <w:spacing w:line="240" w:lineRule="auto"/>
      <w:jc w:val="left"/>
    </w:pPr>
    <w:rPr>
      <w:szCs w:val="24"/>
    </w:rPr>
  </w:style>
  <w:style w:type="paragraph" w:styleId="26">
    <w:name w:val="toc 2"/>
    <w:basedOn w:val="1"/>
    <w:next w:val="1"/>
    <w:unhideWhenUsed/>
    <w:qFormat/>
    <w:uiPriority w:val="39"/>
    <w:pPr>
      <w:tabs>
        <w:tab w:val="right" w:leader="dot" w:pos="9344"/>
      </w:tabs>
      <w:spacing w:line="300" w:lineRule="exact"/>
      <w:ind w:left="210"/>
    </w:pPr>
    <w:rPr>
      <w:rFonts w:ascii="宋体"/>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2"/>
    <w:qFormat/>
    <w:uiPriority w:val="0"/>
    <w:rPr>
      <w:rFonts w:ascii="Times New Roman" w:hAnsi="Times New Roman" w:eastAsia="宋体" w:cs="Times New Roman"/>
      <w:b/>
      <w:bCs/>
      <w:kern w:val="44"/>
      <w:sz w:val="44"/>
      <w:szCs w:val="44"/>
    </w:rPr>
  </w:style>
  <w:style w:type="character" w:customStyle="1" w:styleId="37">
    <w:name w:val="标题 2 字符"/>
    <w:link w:val="3"/>
    <w:qFormat/>
    <w:uiPriority w:val="0"/>
    <w:rPr>
      <w:rFonts w:ascii="Arial" w:hAnsi="Arial" w:eastAsia="黑体" w:cs="Times New Roman"/>
      <w:b/>
      <w:bCs/>
      <w:sz w:val="32"/>
      <w:szCs w:val="32"/>
    </w:rPr>
  </w:style>
  <w:style w:type="character" w:customStyle="1" w:styleId="38">
    <w:name w:val="标题 3 字符"/>
    <w:link w:val="4"/>
    <w:qFormat/>
    <w:uiPriority w:val="0"/>
    <w:rPr>
      <w:rFonts w:ascii="Times New Roman" w:hAnsi="Times New Roman" w:eastAsia="宋体" w:cs="Times New Roman"/>
      <w:b/>
      <w:bCs/>
      <w:sz w:val="32"/>
      <w:szCs w:val="32"/>
    </w:rPr>
  </w:style>
  <w:style w:type="character" w:customStyle="1" w:styleId="39">
    <w:name w:val="标题 4 字符"/>
    <w:link w:val="5"/>
    <w:qFormat/>
    <w:uiPriority w:val="0"/>
    <w:rPr>
      <w:rFonts w:ascii="Arial" w:hAnsi="Arial" w:eastAsia="黑体" w:cs="Times New Roman"/>
      <w:b/>
      <w:bCs/>
      <w:sz w:val="28"/>
      <w:szCs w:val="28"/>
    </w:rPr>
  </w:style>
  <w:style w:type="character" w:customStyle="1" w:styleId="40">
    <w:name w:val="标题 5 字符"/>
    <w:link w:val="6"/>
    <w:qFormat/>
    <w:uiPriority w:val="0"/>
    <w:rPr>
      <w:rFonts w:ascii="Times New Roman" w:hAnsi="Times New Roman" w:eastAsia="宋体" w:cs="Times New Roman"/>
      <w:b/>
      <w:bCs/>
      <w:sz w:val="28"/>
      <w:szCs w:val="28"/>
    </w:rPr>
  </w:style>
  <w:style w:type="character" w:customStyle="1" w:styleId="41">
    <w:name w:val="标题 6 字符"/>
    <w:link w:val="7"/>
    <w:qFormat/>
    <w:uiPriority w:val="0"/>
    <w:rPr>
      <w:rFonts w:ascii="Arial" w:hAnsi="Arial" w:eastAsia="黑体" w:cs="Times New Roman"/>
      <w:b/>
      <w:bCs/>
      <w:sz w:val="24"/>
      <w:szCs w:val="24"/>
    </w:rPr>
  </w:style>
  <w:style w:type="character" w:customStyle="1" w:styleId="42">
    <w:name w:val="标题 7 字符"/>
    <w:link w:val="8"/>
    <w:qFormat/>
    <w:uiPriority w:val="0"/>
    <w:rPr>
      <w:rFonts w:ascii="Times New Roman" w:hAnsi="Times New Roman" w:eastAsia="宋体" w:cs="Times New Roman"/>
      <w:b/>
      <w:bCs/>
      <w:sz w:val="24"/>
      <w:szCs w:val="24"/>
    </w:rPr>
  </w:style>
  <w:style w:type="character" w:customStyle="1" w:styleId="43">
    <w:name w:val="标题 8 字符"/>
    <w:link w:val="9"/>
    <w:qFormat/>
    <w:uiPriority w:val="0"/>
    <w:rPr>
      <w:rFonts w:ascii="Arial" w:hAnsi="Arial" w:eastAsia="黑体" w:cs="Times New Roman"/>
      <w:sz w:val="24"/>
      <w:szCs w:val="24"/>
    </w:rPr>
  </w:style>
  <w:style w:type="character" w:customStyle="1" w:styleId="44">
    <w:name w:val="标题 9 字符"/>
    <w:link w:val="10"/>
    <w:qFormat/>
    <w:uiPriority w:val="0"/>
    <w:rPr>
      <w:rFonts w:ascii="Arial" w:hAnsi="Arial" w:eastAsia="黑体" w:cs="Times New Roman"/>
      <w:szCs w:val="21"/>
    </w:rPr>
  </w:style>
  <w:style w:type="character" w:customStyle="1" w:styleId="45">
    <w:name w:val="页眉 字符"/>
    <w:link w:val="20"/>
    <w:qFormat/>
    <w:uiPriority w:val="99"/>
    <w:rPr>
      <w:rFonts w:ascii="Times New Roman" w:hAnsi="Times New Roman" w:eastAsia="宋体" w:cs="Times New Roman"/>
      <w:sz w:val="18"/>
      <w:szCs w:val="18"/>
    </w:rPr>
  </w:style>
  <w:style w:type="character" w:customStyle="1" w:styleId="46">
    <w:name w:val="页脚 字符"/>
    <w:link w:val="19"/>
    <w:qFormat/>
    <w:uiPriority w:val="99"/>
    <w:rPr>
      <w:rFonts w:ascii="宋体" w:hAnsi="Times New Roman" w:eastAsia="宋体" w:cs="Times New Roman"/>
      <w:sz w:val="18"/>
      <w:szCs w:val="18"/>
    </w:rPr>
  </w:style>
  <w:style w:type="character" w:customStyle="1" w:styleId="47">
    <w:name w:val="批注框文本 字符"/>
    <w:link w:val="18"/>
    <w:semiHidden/>
    <w:qFormat/>
    <w:uiPriority w:val="99"/>
    <w:rPr>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qFormat/>
    <w:uiPriority w:val="29"/>
    <w:rPr>
      <w:i/>
      <w:iCs/>
      <w:color w:val="000000"/>
    </w:rPr>
  </w:style>
  <w:style w:type="character" w:customStyle="1" w:styleId="50">
    <w:name w:val="标题 字符"/>
    <w:link w:val="27"/>
    <w:qFormat/>
    <w:uiPriority w:val="0"/>
    <w:rPr>
      <w:rFonts w:ascii="Arial" w:hAnsi="Arial" w:eastAsia="宋体" w:cs="Arial"/>
      <w:b/>
      <w:bCs/>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227"/>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autoRedefine/>
    <w:qFormat/>
    <w:uiPriority w:val="0"/>
    <w:rPr>
      <w:rFonts w:ascii="黑体" w:eastAsia="黑体"/>
      <w:b/>
      <w:kern w:val="0"/>
      <w:sz w:val="28"/>
    </w:rPr>
  </w:style>
  <w:style w:type="paragraph" w:customStyle="1" w:styleId="72">
    <w:name w:val="标准文件_封面标准名称"/>
    <w:basedOn w:val="1"/>
    <w:autoRedefine/>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autoRedefine/>
    <w:qFormat/>
    <w:uiPriority w:val="0"/>
    <w:pPr>
      <w:spacing w:line="310" w:lineRule="exact"/>
      <w:jc w:val="right"/>
    </w:pPr>
    <w:rPr>
      <w:rFonts w:ascii="黑体" w:eastAsia="黑体"/>
      <w:sz w:val="28"/>
    </w:rPr>
  </w:style>
  <w:style w:type="paragraph" w:customStyle="1" w:styleId="77">
    <w:name w:val="标准文件_封面抬头"/>
    <w:basedOn w:val="58"/>
    <w:autoRedefine/>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autoRedefine/>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3"/>
    <w:qFormat/>
    <w:uiPriority w:val="0"/>
    <w:rPr>
      <w:rFonts w:ascii="Times New Roman" w:hAnsi="Times New Roman" w:eastAsia="宋体" w:cs="Times New Roman"/>
      <w:szCs w:val="20"/>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pPr>
  </w:style>
  <w:style w:type="paragraph" w:customStyle="1" w:styleId="93">
    <w:name w:val="标准文件_目录标题"/>
    <w:basedOn w:val="1"/>
    <w:qFormat/>
    <w:uiPriority w:val="0"/>
    <w:pPr>
      <w:spacing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ind w:left="0" w:firstLine="200"/>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3"/>
    <w:semiHidden/>
    <w:qFormat/>
    <w:uiPriority w:val="0"/>
    <w:rPr>
      <w:rFonts w:ascii="宋体" w:hAnsi="Times New Roman" w:eastAsia="宋体" w:cs="Times New Roman"/>
      <w:sz w:val="18"/>
      <w:szCs w:val="18"/>
    </w:rPr>
  </w:style>
  <w:style w:type="paragraph" w:customStyle="1" w:styleId="102">
    <w:name w:val="标准文件_条文脚注"/>
    <w:basedOn w:val="23"/>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ind w:left="783"/>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left="1271" w:hanging="420" w:firstLineChars="0"/>
    </w:pPr>
  </w:style>
  <w:style w:type="paragraph" w:customStyle="1" w:styleId="190">
    <w:name w:val="标准文件_三级项2"/>
    <w:basedOn w:val="58"/>
    <w:qFormat/>
    <w:uiPriority w:val="0"/>
    <w:pPr>
      <w:numPr>
        <w:ilvl w:val="0"/>
        <w:numId w:val="30"/>
      </w:numPr>
      <w:spacing w:line="300" w:lineRule="exact"/>
      <w:ind w:left="1276" w:hanging="425" w:firstLineChars="0"/>
    </w:pPr>
    <w:rPr>
      <w:rFonts w:ascii="Times New Roman"/>
    </w:rPr>
  </w:style>
  <w:style w:type="paragraph" w:customStyle="1" w:styleId="191">
    <w:name w:val="标准文件_一级项2"/>
    <w:basedOn w:val="58"/>
    <w:qFormat/>
    <w:uiPriority w:val="0"/>
    <w:pPr>
      <w:numPr>
        <w:ilvl w:val="0"/>
        <w:numId w:val="31"/>
      </w:numPr>
      <w:spacing w:line="300" w:lineRule="exact"/>
      <w:ind w:left="1271" w:hanging="420"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frame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31">
    <w:name w:val="修订1"/>
    <w:hidden/>
    <w:semiHidden/>
    <w:qFormat/>
    <w:uiPriority w:val="99"/>
    <w:rPr>
      <w:rFonts w:ascii="Calibri" w:hAnsi="Calibri" w:eastAsia="宋体" w:cs="Times New Roman"/>
      <w:kern w:val="2"/>
      <w:sz w:val="21"/>
      <w:szCs w:val="21"/>
      <w:lang w:val="en-US" w:eastAsia="zh-CN" w:bidi="ar-SA"/>
    </w:rPr>
  </w:style>
  <w:style w:type="paragraph" w:styleId="232">
    <w:name w:val="List Paragraph"/>
    <w:basedOn w:val="1"/>
    <w:unhideWhenUsed/>
    <w:qFormat/>
    <w:uiPriority w:val="99"/>
    <w:pPr>
      <w:ind w:firstLine="420" w:firstLineChars="200"/>
    </w:pPr>
  </w:style>
  <w:style w:type="character" w:customStyle="1" w:styleId="233">
    <w:name w:val="正文文本缩进 字符"/>
    <w:basedOn w:val="30"/>
    <w:link w:val="14"/>
    <w:semiHidden/>
    <w:qFormat/>
    <w:uiPriority w:val="99"/>
    <w:rPr>
      <w:kern w:val="2"/>
      <w:sz w:val="21"/>
      <w:szCs w:val="21"/>
    </w:rPr>
  </w:style>
  <w:style w:type="character" w:customStyle="1" w:styleId="234">
    <w:name w:val="日期 字符"/>
    <w:basedOn w:val="30"/>
    <w:link w:val="17"/>
    <w:semiHidden/>
    <w:qFormat/>
    <w:uiPriority w:val="0"/>
    <w:rPr>
      <w:rFonts w:ascii="Times New Roman" w:hAnsi="Times New Roman"/>
      <w:kern w:val="2"/>
      <w:sz w:val="21"/>
    </w:rPr>
  </w:style>
  <w:style w:type="paragraph" w:customStyle="1" w:styleId="235">
    <w:name w:val="p16"/>
    <w:basedOn w:val="1"/>
    <w:qFormat/>
    <w:uiPriority w:val="0"/>
    <w:pPr>
      <w:widowControl/>
      <w:ind w:firstLine="420"/>
    </w:pPr>
    <w:rPr>
      <w:rFonts w:ascii="宋体" w:hAnsi="宋体" w:cs="宋体"/>
      <w:kern w:val="0"/>
    </w:rPr>
  </w:style>
  <w:style w:type="paragraph" w:customStyle="1" w:styleId="236">
    <w:name w:val="p0"/>
    <w:basedOn w:val="1"/>
    <w:qFormat/>
    <w:uiPriority w:val="0"/>
    <w:pPr>
      <w:widowControl/>
    </w:pPr>
    <w:rPr>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glossaryDocument" Target="glossary/document.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tiff"/><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69;&#23478;&#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8B038B8CDA14FB896D3A52BE67D1C8A"/>
        <w:style w:val=""/>
        <w:category>
          <w:name w:val="常规"/>
          <w:gallery w:val="placeholder"/>
        </w:category>
        <w:types>
          <w:type w:val="bbPlcHdr"/>
        </w:types>
        <w:behaviors>
          <w:behavior w:val="content"/>
        </w:behaviors>
        <w:description w:val=""/>
        <w:guid w:val="{FFD862DC-5B05-4096-AB44-955A4375347E}"/>
      </w:docPartPr>
      <w:docPartBody>
        <w:p w14:paraId="14BD357E">
          <w:pPr>
            <w:pStyle w:val="5"/>
            <w:rPr>
              <w:rFonts w:hint="eastAsia"/>
            </w:rPr>
          </w:pPr>
          <w:r>
            <w:rPr>
              <w:rStyle w:val="4"/>
              <w:rFonts w:hint="eastAsia"/>
            </w:rPr>
            <w:t>单击或点击此处输入文字。</w:t>
          </w:r>
        </w:p>
      </w:docPartBody>
    </w:docPart>
    <w:docPart>
      <w:docPartPr>
        <w:name w:val="{98ac1904-7948-4a5d-8423-91c68d32408e}"/>
        <w:style w:val=""/>
        <w:category>
          <w:name w:val="常规"/>
          <w:gallery w:val="placeholder"/>
        </w:category>
        <w:types>
          <w:type w:val="bbPlcHdr"/>
        </w:types>
        <w:behaviors>
          <w:behavior w:val="content"/>
        </w:behaviors>
        <w:description w:val=""/>
        <w:guid w:val="{98AC1904-7948-4A5D-8423-91C68D32408E}"/>
      </w:docPartPr>
      <w:docPartBody>
        <w:p w14:paraId="34AADBCC">
          <w:pPr>
            <w:pStyle w:val="6"/>
            <w:rPr>
              <w:rFonts w:hint="eastAsia"/>
            </w:rPr>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AA2"/>
    <w:rsid w:val="00003AA2"/>
    <w:rsid w:val="00005D8E"/>
    <w:rsid w:val="00062C61"/>
    <w:rsid w:val="000A2693"/>
    <w:rsid w:val="000F7217"/>
    <w:rsid w:val="00101EC9"/>
    <w:rsid w:val="00152E17"/>
    <w:rsid w:val="001532CF"/>
    <w:rsid w:val="001607B9"/>
    <w:rsid w:val="00163D26"/>
    <w:rsid w:val="001659B8"/>
    <w:rsid w:val="00185EDB"/>
    <w:rsid w:val="001B060A"/>
    <w:rsid w:val="001B2E56"/>
    <w:rsid w:val="001C0101"/>
    <w:rsid w:val="001C013C"/>
    <w:rsid w:val="001C6753"/>
    <w:rsid w:val="0023102A"/>
    <w:rsid w:val="002475F5"/>
    <w:rsid w:val="002B5870"/>
    <w:rsid w:val="002C05AE"/>
    <w:rsid w:val="003064FE"/>
    <w:rsid w:val="00315EAC"/>
    <w:rsid w:val="0033188A"/>
    <w:rsid w:val="003535AD"/>
    <w:rsid w:val="003A09D6"/>
    <w:rsid w:val="003A3FD9"/>
    <w:rsid w:val="00432C5F"/>
    <w:rsid w:val="00451120"/>
    <w:rsid w:val="0049508C"/>
    <w:rsid w:val="004970BA"/>
    <w:rsid w:val="004B3087"/>
    <w:rsid w:val="004B6B35"/>
    <w:rsid w:val="004F4EF9"/>
    <w:rsid w:val="005120D5"/>
    <w:rsid w:val="00545D9D"/>
    <w:rsid w:val="00573559"/>
    <w:rsid w:val="00574F81"/>
    <w:rsid w:val="00597552"/>
    <w:rsid w:val="005B6437"/>
    <w:rsid w:val="005B6A77"/>
    <w:rsid w:val="005D62A4"/>
    <w:rsid w:val="005F158A"/>
    <w:rsid w:val="00601C5D"/>
    <w:rsid w:val="006052C3"/>
    <w:rsid w:val="00652683"/>
    <w:rsid w:val="00675F3E"/>
    <w:rsid w:val="00685414"/>
    <w:rsid w:val="00687C01"/>
    <w:rsid w:val="00697414"/>
    <w:rsid w:val="006B4208"/>
    <w:rsid w:val="006F6081"/>
    <w:rsid w:val="00725338"/>
    <w:rsid w:val="00801256"/>
    <w:rsid w:val="00804534"/>
    <w:rsid w:val="00813D47"/>
    <w:rsid w:val="00844310"/>
    <w:rsid w:val="0085182B"/>
    <w:rsid w:val="00867961"/>
    <w:rsid w:val="0087067E"/>
    <w:rsid w:val="00871283"/>
    <w:rsid w:val="00876F88"/>
    <w:rsid w:val="008856B2"/>
    <w:rsid w:val="008971A1"/>
    <w:rsid w:val="008979C4"/>
    <w:rsid w:val="008C0FE3"/>
    <w:rsid w:val="008C273F"/>
    <w:rsid w:val="008F6519"/>
    <w:rsid w:val="00903D49"/>
    <w:rsid w:val="0093020E"/>
    <w:rsid w:val="00973401"/>
    <w:rsid w:val="009E49CC"/>
    <w:rsid w:val="009E4A45"/>
    <w:rsid w:val="00A102D7"/>
    <w:rsid w:val="00A42B42"/>
    <w:rsid w:val="00A7530A"/>
    <w:rsid w:val="00B03334"/>
    <w:rsid w:val="00B03ABE"/>
    <w:rsid w:val="00B10FD5"/>
    <w:rsid w:val="00B12FD2"/>
    <w:rsid w:val="00B5040B"/>
    <w:rsid w:val="00BB1E0F"/>
    <w:rsid w:val="00BE5546"/>
    <w:rsid w:val="00C01FFD"/>
    <w:rsid w:val="00C136B6"/>
    <w:rsid w:val="00C22C60"/>
    <w:rsid w:val="00C304B4"/>
    <w:rsid w:val="00C4516F"/>
    <w:rsid w:val="00C75C72"/>
    <w:rsid w:val="00C9311D"/>
    <w:rsid w:val="00C946D9"/>
    <w:rsid w:val="00CC4C80"/>
    <w:rsid w:val="00D056A3"/>
    <w:rsid w:val="00D1204E"/>
    <w:rsid w:val="00D443E3"/>
    <w:rsid w:val="00D51D5D"/>
    <w:rsid w:val="00D54EF2"/>
    <w:rsid w:val="00D72252"/>
    <w:rsid w:val="00DA5F8A"/>
    <w:rsid w:val="00DA7B3E"/>
    <w:rsid w:val="00DC0442"/>
    <w:rsid w:val="00DC1611"/>
    <w:rsid w:val="00DD293F"/>
    <w:rsid w:val="00E1623B"/>
    <w:rsid w:val="00E20949"/>
    <w:rsid w:val="00E426CC"/>
    <w:rsid w:val="00E47654"/>
    <w:rsid w:val="00E8796C"/>
    <w:rsid w:val="00E87FE3"/>
    <w:rsid w:val="00EA0AC2"/>
    <w:rsid w:val="00EA4A19"/>
    <w:rsid w:val="00EC0A40"/>
    <w:rsid w:val="00ED6492"/>
    <w:rsid w:val="00F02C0F"/>
    <w:rsid w:val="00F33BFC"/>
    <w:rsid w:val="00F37BEF"/>
    <w:rsid w:val="00FD02F8"/>
    <w:rsid w:val="00FF4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8B038B8CDA14FB896D3A52BE67D1C8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486ACE62B3AB4625B824A0A2F7950DAB"/>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722305-6409-40DC-86FE-E1CFF5E6AEAC}">
  <ds:schemaRefs/>
</ds:datastoreItem>
</file>

<file path=docProps/app.xml><?xml version="1.0" encoding="utf-8"?>
<Properties xmlns="http://schemas.openxmlformats.org/officeDocument/2006/extended-properties" xmlns:vt="http://schemas.openxmlformats.org/officeDocument/2006/docPropsVTypes">
  <Template>国家标准</Template>
  <Company>PCMI</Company>
  <Pages>22</Pages>
  <Words>2831</Words>
  <Characters>3863</Characters>
  <Lines>193</Lines>
  <Paragraphs>54</Paragraphs>
  <TotalTime>9</TotalTime>
  <ScaleCrop>false</ScaleCrop>
  <LinksUpToDate>false</LinksUpToDate>
  <CharactersWithSpaces>21290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2026-03-17T01:52:00Z</dcterms:created>
  <dc:creator>hengych</dc:creator>
  <cp:lastModifiedBy>殷坤</cp:lastModifiedBy>
  <cp:lastPrinted>2021-02-02T06:15:00Z</cp:lastPrinted>
  <dcterms:modified xsi:type="dcterms:W3CDTF">2026-05-08T06:15:17Z</dcterms:modified>
  <dc:title>国家标准</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2052-12.1.0.25865</vt:lpwstr>
  </property>
  <property fmtid="{D5CDD505-2E9C-101B-9397-08002B2CF9AE}" pid="15" name="ICV">
    <vt:lpwstr>93B26260D0CA4CEDB6FB109B68C71AA4_13</vt:lpwstr>
  </property>
  <property fmtid="{D5CDD505-2E9C-101B-9397-08002B2CF9AE}" pid="16" name="KSOTemplateDocerSaveRecord">
    <vt:lpwstr>eyJoZGlkIjoiN2UwMDQ4NzZmOTFjZWQyM2VjMTI4ZDRkNGVhYzdkMTQiLCJ1c2VySWQiOiI2MDM5MTExMzgifQ==</vt:lpwstr>
  </property>
</Properties>
</file>