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B9D8D" w14:textId="77777777" w:rsidR="00977F5E" w:rsidRDefault="00000000">
      <w:pPr>
        <w:spacing w:line="360" w:lineRule="auto"/>
        <w:jc w:val="center"/>
        <w:rPr>
          <w:b/>
          <w:sz w:val="32"/>
          <w:szCs w:val="32"/>
        </w:rPr>
      </w:pPr>
      <w:r>
        <w:rPr>
          <w:rFonts w:hint="eastAsia"/>
          <w:b/>
          <w:sz w:val="32"/>
          <w:szCs w:val="32"/>
        </w:rPr>
        <w:t>《</w:t>
      </w:r>
      <w:bookmarkStart w:id="0" w:name="_Hlk225770952"/>
      <w:r>
        <w:rPr>
          <w:rFonts w:hint="eastAsia"/>
          <w:b/>
          <w:sz w:val="32"/>
          <w:szCs w:val="32"/>
        </w:rPr>
        <w:t>餐具和餐桌用凹形器皿</w:t>
      </w:r>
      <w:r>
        <w:rPr>
          <w:rFonts w:hint="eastAsia"/>
          <w:b/>
          <w:sz w:val="32"/>
          <w:szCs w:val="32"/>
        </w:rPr>
        <w:t xml:space="preserve"> </w:t>
      </w:r>
      <w:r>
        <w:rPr>
          <w:rFonts w:hint="eastAsia"/>
          <w:b/>
          <w:sz w:val="32"/>
          <w:szCs w:val="32"/>
        </w:rPr>
        <w:t>第</w:t>
      </w:r>
      <w:r>
        <w:rPr>
          <w:rFonts w:hint="eastAsia"/>
          <w:b/>
          <w:sz w:val="32"/>
          <w:szCs w:val="32"/>
        </w:rPr>
        <w:t>8</w:t>
      </w:r>
      <w:r>
        <w:rPr>
          <w:rFonts w:hint="eastAsia"/>
          <w:b/>
          <w:sz w:val="32"/>
          <w:szCs w:val="32"/>
        </w:rPr>
        <w:t>部分：银制餐用和装饰用器皿技术要求》</w:t>
      </w:r>
      <w:bookmarkEnd w:id="0"/>
      <w:r>
        <w:rPr>
          <w:rFonts w:hint="eastAsia"/>
          <w:b/>
          <w:sz w:val="32"/>
          <w:szCs w:val="32"/>
        </w:rPr>
        <w:t>国家标准编制说明</w:t>
      </w:r>
    </w:p>
    <w:p w14:paraId="6F480290" w14:textId="77777777" w:rsidR="00977F5E" w:rsidRDefault="00000000">
      <w:pPr>
        <w:spacing w:line="360" w:lineRule="auto"/>
        <w:jc w:val="center"/>
        <w:rPr>
          <w:sz w:val="30"/>
          <w:szCs w:val="30"/>
        </w:rPr>
      </w:pPr>
      <w:r>
        <w:rPr>
          <w:rFonts w:hint="eastAsia"/>
          <w:sz w:val="30"/>
          <w:szCs w:val="30"/>
        </w:rPr>
        <w:t>（征求意见稿）</w:t>
      </w:r>
    </w:p>
    <w:p w14:paraId="38972E12" w14:textId="77777777" w:rsidR="00977F5E"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一、工作简况</w:t>
      </w:r>
    </w:p>
    <w:p w14:paraId="1ACF47C7" w14:textId="77777777" w:rsidR="00977F5E" w:rsidRDefault="00000000">
      <w:pPr>
        <w:spacing w:line="360" w:lineRule="auto"/>
        <w:ind w:firstLineChars="200" w:firstLine="480"/>
        <w:jc w:val="left"/>
        <w:rPr>
          <w:rFonts w:ascii="黑体" w:eastAsia="黑体" w:hAnsi="宋体" w:hint="eastAsia"/>
          <w:kern w:val="0"/>
          <w:sz w:val="24"/>
        </w:rPr>
      </w:pPr>
      <w:r>
        <w:rPr>
          <w:rFonts w:ascii="黑体" w:eastAsia="黑体" w:hAnsi="宋体" w:hint="eastAsia"/>
          <w:kern w:val="0"/>
          <w:sz w:val="24"/>
        </w:rPr>
        <w:t>1 任务来源</w:t>
      </w:r>
    </w:p>
    <w:p w14:paraId="1D014B9A" w14:textId="77777777" w:rsidR="00977F5E" w:rsidRDefault="00000000">
      <w:pPr>
        <w:spacing w:line="500" w:lineRule="exact"/>
        <w:ind w:firstLineChars="200" w:firstLine="480"/>
        <w:jc w:val="left"/>
        <w:rPr>
          <w:color w:val="000000"/>
          <w:sz w:val="24"/>
          <w:szCs w:val="24"/>
        </w:rPr>
      </w:pPr>
      <w:r>
        <w:rPr>
          <w:rFonts w:hint="eastAsia"/>
          <w:color w:val="000000"/>
          <w:sz w:val="24"/>
          <w:szCs w:val="24"/>
        </w:rPr>
        <w:t>《餐具和餐桌用凹形器皿</w:t>
      </w:r>
      <w:r>
        <w:rPr>
          <w:rFonts w:hint="eastAsia"/>
          <w:color w:val="000000"/>
          <w:sz w:val="24"/>
          <w:szCs w:val="24"/>
        </w:rPr>
        <w:t xml:space="preserve"> </w:t>
      </w:r>
      <w:r>
        <w:rPr>
          <w:rFonts w:hint="eastAsia"/>
          <w:color w:val="000000"/>
          <w:sz w:val="24"/>
          <w:szCs w:val="24"/>
        </w:rPr>
        <w:t>第</w:t>
      </w:r>
      <w:r>
        <w:rPr>
          <w:rFonts w:hint="eastAsia"/>
          <w:color w:val="000000"/>
          <w:sz w:val="24"/>
          <w:szCs w:val="24"/>
        </w:rPr>
        <w:t>8</w:t>
      </w:r>
      <w:r>
        <w:rPr>
          <w:rFonts w:hint="eastAsia"/>
          <w:color w:val="000000"/>
          <w:sz w:val="24"/>
          <w:szCs w:val="24"/>
        </w:rPr>
        <w:t>部分：银制餐用和装饰用器皿技术要求》经国家标准化管理委员会（国标委发</w:t>
      </w:r>
      <w:r>
        <w:rPr>
          <w:rFonts w:hint="eastAsia"/>
          <w:color w:val="000000"/>
          <w:sz w:val="24"/>
          <w:szCs w:val="24"/>
        </w:rPr>
        <w:t>[2025]43</w:t>
      </w:r>
      <w:r>
        <w:rPr>
          <w:rFonts w:hint="eastAsia"/>
          <w:color w:val="000000"/>
          <w:sz w:val="24"/>
          <w:szCs w:val="24"/>
        </w:rPr>
        <w:t>号）文件批准，列入“</w:t>
      </w:r>
      <w:r>
        <w:rPr>
          <w:rFonts w:hint="eastAsia"/>
          <w:color w:val="000000"/>
          <w:sz w:val="24"/>
          <w:szCs w:val="24"/>
        </w:rPr>
        <w:t>2025</w:t>
      </w:r>
      <w:r>
        <w:rPr>
          <w:rFonts w:hint="eastAsia"/>
          <w:color w:val="000000"/>
          <w:sz w:val="24"/>
          <w:szCs w:val="24"/>
        </w:rPr>
        <w:t>年第七批推荐性国家标准计划及相关标准外文版计划”。计</w:t>
      </w:r>
      <w:r>
        <w:rPr>
          <w:rFonts w:asciiTheme="minorEastAsia" w:hAnsiTheme="minorEastAsia" w:hint="eastAsia"/>
          <w:color w:val="000000"/>
          <w:sz w:val="24"/>
          <w:szCs w:val="24"/>
        </w:rPr>
        <w:t>划编号：</w:t>
      </w:r>
      <w:r>
        <w:rPr>
          <w:rFonts w:hint="eastAsia"/>
          <w:color w:val="000000"/>
          <w:sz w:val="24"/>
        </w:rPr>
        <w:t xml:space="preserve"> 20253249-T-607</w:t>
      </w:r>
      <w:r>
        <w:rPr>
          <w:rFonts w:hint="eastAsia"/>
          <w:color w:val="000000"/>
          <w:sz w:val="24"/>
        </w:rPr>
        <w:t>。</w:t>
      </w:r>
      <w:r>
        <w:rPr>
          <w:rFonts w:hint="eastAsia"/>
          <w:color w:val="000000"/>
          <w:sz w:val="24"/>
          <w:szCs w:val="24"/>
        </w:rPr>
        <w:t>该标准由全国金属餐饮及烹饪器具标准化技术委员会</w:t>
      </w:r>
      <w:r>
        <w:rPr>
          <w:rFonts w:hint="eastAsia"/>
          <w:color w:val="000000"/>
          <w:sz w:val="24"/>
          <w:szCs w:val="24"/>
        </w:rPr>
        <w:t>(TC410)</w:t>
      </w:r>
      <w:r>
        <w:rPr>
          <w:rFonts w:hint="eastAsia"/>
          <w:color w:val="000000"/>
          <w:sz w:val="24"/>
          <w:szCs w:val="24"/>
        </w:rPr>
        <w:t>归口。</w:t>
      </w:r>
    </w:p>
    <w:p w14:paraId="53FE99F6" w14:textId="6AD2DED5" w:rsidR="00807D55" w:rsidRPr="00807D55" w:rsidRDefault="00807D55" w:rsidP="00807D55">
      <w:pPr>
        <w:pStyle w:val="af0"/>
        <w:spacing w:line="360" w:lineRule="auto"/>
        <w:ind w:firstLine="480"/>
        <w:rPr>
          <w:rFonts w:ascii="黑体" w:eastAsia="黑体" w:hAnsi="宋体" w:hint="eastAsia"/>
          <w:sz w:val="24"/>
        </w:rPr>
      </w:pPr>
      <w:r>
        <w:rPr>
          <w:rFonts w:ascii="黑体" w:eastAsia="黑体" w:hAnsi="宋体" w:hint="eastAsia"/>
          <w:sz w:val="24"/>
        </w:rPr>
        <w:t>2 职责</w:t>
      </w:r>
      <w:r w:rsidRPr="00133E08">
        <w:rPr>
          <w:rFonts w:ascii="黑体" w:eastAsia="黑体" w:hAnsi="宋体" w:hint="eastAsia"/>
          <w:sz w:val="24"/>
        </w:rPr>
        <w:t>分工</w:t>
      </w:r>
    </w:p>
    <w:p w14:paraId="4D8C0589" w14:textId="77777777" w:rsidR="00C32B01" w:rsidRPr="00C32B01" w:rsidRDefault="00C32B01" w:rsidP="00C32B01">
      <w:pPr>
        <w:spacing w:line="360" w:lineRule="auto"/>
        <w:ind w:firstLineChars="200" w:firstLine="480"/>
        <w:jc w:val="left"/>
        <w:rPr>
          <w:color w:val="000000"/>
          <w:sz w:val="24"/>
          <w:szCs w:val="24"/>
        </w:rPr>
      </w:pPr>
      <w:r w:rsidRPr="00C32B01">
        <w:rPr>
          <w:color w:val="000000"/>
          <w:sz w:val="24"/>
          <w:szCs w:val="24"/>
        </w:rPr>
        <w:t>本文件起草单位：中国日用五金技术开发中心、爱仕达股份有限公司、中国质量认证中心有限公司、浙江炊大王炊具有限公司、中国五金制品协会、广东凌丰家居用品股份有限公司、广东省五金制品协会。</w:t>
      </w:r>
    </w:p>
    <w:p w14:paraId="0FBD2640" w14:textId="77777777" w:rsidR="00C32B01" w:rsidRPr="00C32B01" w:rsidRDefault="00C32B01" w:rsidP="00C32B01">
      <w:pPr>
        <w:spacing w:line="360" w:lineRule="auto"/>
        <w:ind w:firstLineChars="200" w:firstLine="480"/>
        <w:jc w:val="left"/>
        <w:rPr>
          <w:color w:val="000000"/>
          <w:sz w:val="24"/>
          <w:szCs w:val="24"/>
        </w:rPr>
      </w:pPr>
      <w:r w:rsidRPr="00C32B01">
        <w:rPr>
          <w:color w:val="000000"/>
          <w:sz w:val="24"/>
          <w:szCs w:val="24"/>
        </w:rPr>
        <w:t>本文件主要起草人：杨兆狄、陈合林、石峰、张忠苹、蒲万见、王磊、余敬源、徐德军。</w:t>
      </w:r>
    </w:p>
    <w:p w14:paraId="12FFC0C2" w14:textId="77777777" w:rsidR="0075576B" w:rsidRDefault="0075576B" w:rsidP="0075576B">
      <w:pPr>
        <w:spacing w:line="360" w:lineRule="auto"/>
        <w:ind w:firstLineChars="200" w:firstLine="480"/>
        <w:jc w:val="left"/>
        <w:rPr>
          <w:sz w:val="24"/>
          <w:szCs w:val="24"/>
        </w:rPr>
      </w:pPr>
      <w:r w:rsidRPr="00964B72">
        <w:rPr>
          <w:rFonts w:hint="eastAsia"/>
          <w:sz w:val="24"/>
          <w:szCs w:val="24"/>
        </w:rPr>
        <w:t>单智华任</w:t>
      </w:r>
      <w:r w:rsidRPr="00964B72">
        <w:rPr>
          <w:sz w:val="24"/>
          <w:szCs w:val="24"/>
        </w:rPr>
        <w:t>起草组组长</w:t>
      </w:r>
      <w:r w:rsidRPr="00964B72">
        <w:rPr>
          <w:rFonts w:hint="eastAsia"/>
          <w:sz w:val="24"/>
          <w:szCs w:val="24"/>
        </w:rPr>
        <w:t>，负责</w:t>
      </w:r>
      <w:r w:rsidRPr="00964B72">
        <w:rPr>
          <w:sz w:val="24"/>
          <w:szCs w:val="24"/>
        </w:rPr>
        <w:t>全面统筹标准制修订全部工作；确定编制大纲、工作进度计划、关键技术路线；主持起草组全体会议、研讨会、意见评审会；对接主管部门、标准化管理机构；审定标准草案、征求意见稿、送审稿、报批稿。</w:t>
      </w:r>
    </w:p>
    <w:p w14:paraId="78928FB1" w14:textId="447F1986" w:rsidR="0075576B" w:rsidRPr="00593ACF" w:rsidRDefault="00C32B01" w:rsidP="00593ACF">
      <w:pPr>
        <w:spacing w:line="360" w:lineRule="auto"/>
        <w:ind w:firstLineChars="200" w:firstLine="480"/>
        <w:jc w:val="left"/>
        <w:rPr>
          <w:sz w:val="24"/>
          <w:szCs w:val="24"/>
        </w:rPr>
      </w:pPr>
      <w:r w:rsidRPr="00C32B01">
        <w:rPr>
          <w:color w:val="000000"/>
          <w:sz w:val="24"/>
          <w:szCs w:val="24"/>
        </w:rPr>
        <w:t>杨兆狄、陈合林、石峰、张忠苹</w:t>
      </w:r>
      <w:r w:rsidR="0075576B" w:rsidRPr="00964B72">
        <w:rPr>
          <w:rFonts w:hint="eastAsia"/>
          <w:sz w:val="24"/>
          <w:szCs w:val="24"/>
        </w:rPr>
        <w:t>任</w:t>
      </w:r>
      <w:r w:rsidR="0075576B" w:rsidRPr="00964B72">
        <w:rPr>
          <w:sz w:val="24"/>
          <w:szCs w:val="24"/>
        </w:rPr>
        <w:t>核心起草成员</w:t>
      </w:r>
      <w:r w:rsidR="0075576B" w:rsidRPr="00964B72">
        <w:rPr>
          <w:rFonts w:hint="eastAsia"/>
          <w:sz w:val="24"/>
          <w:szCs w:val="24"/>
        </w:rPr>
        <w:t>，</w:t>
      </w:r>
      <w:r w:rsidR="00593ACF" w:rsidRPr="00CA21C2">
        <w:rPr>
          <w:sz w:val="24"/>
          <w:szCs w:val="24"/>
        </w:rPr>
        <w:t>承担标准指定章节、核心技术条款</w:t>
      </w:r>
      <w:r w:rsidR="00593ACF" w:rsidRPr="00CA21C2">
        <w:rPr>
          <w:rFonts w:hint="eastAsia"/>
          <w:sz w:val="24"/>
          <w:szCs w:val="24"/>
        </w:rPr>
        <w:t>翻译</w:t>
      </w:r>
      <w:r w:rsidR="00593ACF" w:rsidRPr="00CA21C2">
        <w:rPr>
          <w:sz w:val="24"/>
          <w:szCs w:val="24"/>
        </w:rPr>
        <w:t>撰写；开展行业调研、数据统计、对比分析；参与</w:t>
      </w:r>
      <w:r w:rsidR="00593ACF" w:rsidRPr="00CA21C2">
        <w:rPr>
          <w:rFonts w:hint="eastAsia"/>
          <w:sz w:val="24"/>
          <w:szCs w:val="24"/>
        </w:rPr>
        <w:t>标准中试验设备、相关指标、标准文本的讨论与研究</w:t>
      </w:r>
      <w:r w:rsidR="00593ACF" w:rsidRPr="00CA21C2">
        <w:rPr>
          <w:sz w:val="24"/>
          <w:szCs w:val="24"/>
        </w:rPr>
        <w:t>。逐条回复外部征求意见、修改完善条文；</w:t>
      </w:r>
      <w:r w:rsidR="00593ACF" w:rsidRPr="00CA21C2">
        <w:rPr>
          <w:rFonts w:hint="eastAsia"/>
          <w:sz w:val="24"/>
          <w:szCs w:val="24"/>
        </w:rPr>
        <w:t>国内外标准收集、研究与对比分析；</w:t>
      </w:r>
    </w:p>
    <w:p w14:paraId="299F6280" w14:textId="58592513" w:rsidR="0075576B" w:rsidRDefault="00C32B01" w:rsidP="0075576B">
      <w:pPr>
        <w:spacing w:line="360" w:lineRule="auto"/>
        <w:ind w:firstLineChars="200" w:firstLine="480"/>
        <w:jc w:val="left"/>
        <w:rPr>
          <w:sz w:val="24"/>
          <w:szCs w:val="24"/>
        </w:rPr>
      </w:pPr>
      <w:r w:rsidRPr="00C32B01">
        <w:rPr>
          <w:color w:val="000000"/>
          <w:sz w:val="24"/>
          <w:szCs w:val="24"/>
        </w:rPr>
        <w:t>蒲万见、王磊</w:t>
      </w:r>
      <w:r w:rsidR="0075576B" w:rsidRPr="00964B72">
        <w:rPr>
          <w:rFonts w:hint="eastAsia"/>
          <w:sz w:val="24"/>
          <w:szCs w:val="24"/>
        </w:rPr>
        <w:t>任</w:t>
      </w:r>
      <w:r w:rsidR="0075576B">
        <w:rPr>
          <w:rFonts w:hint="eastAsia"/>
          <w:sz w:val="24"/>
          <w:szCs w:val="24"/>
        </w:rPr>
        <w:t>审核人</w:t>
      </w:r>
      <w:r w:rsidR="0075576B" w:rsidRPr="00964B72">
        <w:rPr>
          <w:sz w:val="24"/>
          <w:szCs w:val="24"/>
        </w:rPr>
        <w:t>员</w:t>
      </w:r>
      <w:r w:rsidR="0075576B" w:rsidRPr="00964B72">
        <w:rPr>
          <w:rFonts w:hint="eastAsia"/>
          <w:sz w:val="24"/>
          <w:szCs w:val="24"/>
        </w:rPr>
        <w:t>，</w:t>
      </w:r>
      <w:r w:rsidR="0075576B" w:rsidRPr="00C57940">
        <w:rPr>
          <w:sz w:val="24"/>
          <w:szCs w:val="24"/>
        </w:rPr>
        <w:t>参与</w:t>
      </w:r>
      <w:r w:rsidR="0075576B" w:rsidRPr="00C57940">
        <w:rPr>
          <w:rFonts w:hint="eastAsia"/>
          <w:sz w:val="24"/>
          <w:szCs w:val="24"/>
        </w:rPr>
        <w:t>标准中试验设备、相关指标、标准文本的讨论与研究；</w:t>
      </w:r>
      <w:r w:rsidR="0075576B" w:rsidRPr="00C57940">
        <w:rPr>
          <w:sz w:val="24"/>
          <w:szCs w:val="24"/>
        </w:rPr>
        <w:t>把关试验方法、指标限值、规范性附录内容</w:t>
      </w:r>
      <w:r w:rsidR="0075576B" w:rsidRPr="00C57940">
        <w:rPr>
          <w:rFonts w:hint="eastAsia"/>
          <w:sz w:val="24"/>
          <w:szCs w:val="24"/>
        </w:rPr>
        <w:t>；</w:t>
      </w:r>
      <w:r w:rsidR="0075576B" w:rsidRPr="00C57940">
        <w:rPr>
          <w:sz w:val="24"/>
          <w:szCs w:val="24"/>
        </w:rPr>
        <w:t>核对与现行国标</w:t>
      </w:r>
      <w:r w:rsidR="0075576B" w:rsidRPr="00C57940">
        <w:rPr>
          <w:sz w:val="24"/>
          <w:szCs w:val="24"/>
        </w:rPr>
        <w:t>/</w:t>
      </w:r>
      <w:r w:rsidR="0075576B" w:rsidRPr="00C57940">
        <w:rPr>
          <w:sz w:val="24"/>
          <w:szCs w:val="24"/>
        </w:rPr>
        <w:t>行标</w:t>
      </w:r>
      <w:r w:rsidR="0075576B" w:rsidRPr="00C57940">
        <w:rPr>
          <w:sz w:val="24"/>
          <w:szCs w:val="24"/>
        </w:rPr>
        <w:t>/</w:t>
      </w:r>
      <w:r w:rsidR="0075576B" w:rsidRPr="00C57940">
        <w:rPr>
          <w:sz w:val="24"/>
          <w:szCs w:val="24"/>
        </w:rPr>
        <w:t>地标无矛盾、无冲突</w:t>
      </w:r>
      <w:r w:rsidR="0075576B" w:rsidRPr="00C57940">
        <w:rPr>
          <w:rFonts w:hint="eastAsia"/>
          <w:sz w:val="24"/>
          <w:szCs w:val="24"/>
        </w:rPr>
        <w:t>；</w:t>
      </w:r>
      <w:r w:rsidR="0075576B" w:rsidRPr="00C57940">
        <w:rPr>
          <w:sz w:val="24"/>
          <w:szCs w:val="24"/>
        </w:rPr>
        <w:t>审核标准技术内容合理性、安全性、合规性</w:t>
      </w:r>
      <w:r w:rsidR="0075576B" w:rsidRPr="00C57940">
        <w:rPr>
          <w:rFonts w:hint="eastAsia"/>
          <w:sz w:val="24"/>
          <w:szCs w:val="24"/>
        </w:rPr>
        <w:t>。</w:t>
      </w:r>
    </w:p>
    <w:p w14:paraId="12242D52" w14:textId="58A1787B" w:rsidR="00C32B01" w:rsidRPr="00C32B01" w:rsidRDefault="00C32B01" w:rsidP="00C32B01">
      <w:pPr>
        <w:pStyle w:val="af0"/>
        <w:spacing w:line="360" w:lineRule="auto"/>
        <w:ind w:firstLine="480"/>
        <w:rPr>
          <w:rFonts w:asciiTheme="minorHAnsi" w:eastAsiaTheme="minorEastAsia" w:hAnsiTheme="minorHAnsi" w:cstheme="minorBidi"/>
          <w:color w:val="000000"/>
          <w:kern w:val="2"/>
          <w:sz w:val="24"/>
          <w:szCs w:val="24"/>
        </w:rPr>
      </w:pPr>
      <w:r w:rsidRPr="00C32B01">
        <w:rPr>
          <w:color w:val="000000"/>
          <w:sz w:val="24"/>
          <w:szCs w:val="24"/>
        </w:rPr>
        <w:t>余敬源、徐德军</w:t>
      </w:r>
      <w:r>
        <w:rPr>
          <w:rFonts w:hint="eastAsia"/>
        </w:rPr>
        <w:t>任起草人员，</w:t>
      </w:r>
      <w:r w:rsidRPr="00C57940">
        <w:rPr>
          <w:sz w:val="24"/>
          <w:szCs w:val="24"/>
        </w:rPr>
        <w:t>参与</w:t>
      </w:r>
      <w:r w:rsidRPr="00C57940">
        <w:rPr>
          <w:rFonts w:hint="eastAsia"/>
          <w:sz w:val="24"/>
          <w:szCs w:val="24"/>
        </w:rPr>
        <w:t>标准中试验设备、相关指标、标准文本的讨论与研究；</w:t>
      </w:r>
    </w:p>
    <w:p w14:paraId="6292A33D" w14:textId="77777777" w:rsidR="0075576B" w:rsidRPr="00964B72" w:rsidRDefault="0075576B" w:rsidP="0075576B">
      <w:pPr>
        <w:spacing w:line="360" w:lineRule="auto"/>
        <w:ind w:firstLineChars="200" w:firstLine="480"/>
        <w:jc w:val="left"/>
        <w:rPr>
          <w:sz w:val="24"/>
          <w:szCs w:val="24"/>
        </w:rPr>
      </w:pPr>
      <w:r w:rsidRPr="00964B72">
        <w:rPr>
          <w:rFonts w:hint="eastAsia"/>
          <w:sz w:val="24"/>
          <w:szCs w:val="24"/>
        </w:rPr>
        <w:t>张雪凌任</w:t>
      </w:r>
      <w:r>
        <w:rPr>
          <w:rFonts w:hint="eastAsia"/>
          <w:sz w:val="24"/>
          <w:szCs w:val="24"/>
        </w:rPr>
        <w:t>起草组秘书</w:t>
      </w:r>
      <w:r w:rsidRPr="00964B72">
        <w:rPr>
          <w:rFonts w:hint="eastAsia"/>
          <w:sz w:val="24"/>
          <w:szCs w:val="24"/>
        </w:rPr>
        <w:t>，</w:t>
      </w:r>
      <w:r>
        <w:rPr>
          <w:rFonts w:hint="eastAsia"/>
          <w:sz w:val="24"/>
          <w:szCs w:val="24"/>
        </w:rPr>
        <w:t>负责</w:t>
      </w:r>
      <w:r w:rsidRPr="00964B72">
        <w:rPr>
          <w:sz w:val="24"/>
          <w:szCs w:val="24"/>
        </w:rPr>
        <w:t>制定进度表、</w:t>
      </w:r>
      <w:r w:rsidRPr="00964B72">
        <w:rPr>
          <w:rFonts w:hint="eastAsia"/>
          <w:sz w:val="24"/>
          <w:szCs w:val="24"/>
        </w:rPr>
        <w:t>签到表、</w:t>
      </w:r>
      <w:r w:rsidRPr="00964B72">
        <w:rPr>
          <w:sz w:val="24"/>
          <w:szCs w:val="24"/>
        </w:rPr>
        <w:t>会议纪要；收集整理文献</w:t>
      </w:r>
      <w:r w:rsidRPr="00964B72">
        <w:rPr>
          <w:sz w:val="24"/>
          <w:szCs w:val="24"/>
        </w:rPr>
        <w:lastRenderedPageBreak/>
        <w:t>资料、调研资料、各方反馈意见；统一标准文本格式、排版、编号、校对；联络组员、通知会议、整理归档全套报批资料。</w:t>
      </w:r>
    </w:p>
    <w:p w14:paraId="2E8D33BA" w14:textId="77777777" w:rsidR="0075576B" w:rsidRPr="00807D55" w:rsidRDefault="0075576B" w:rsidP="0075576B">
      <w:pPr>
        <w:spacing w:line="360" w:lineRule="auto"/>
        <w:ind w:firstLineChars="200" w:firstLine="480"/>
        <w:rPr>
          <w:sz w:val="24"/>
          <w:szCs w:val="24"/>
        </w:rPr>
      </w:pPr>
      <w:r w:rsidRPr="00807D55">
        <w:rPr>
          <w:rFonts w:hint="eastAsia"/>
          <w:sz w:val="24"/>
          <w:szCs w:val="24"/>
        </w:rPr>
        <w:t>项目周期</w:t>
      </w:r>
      <w:r w:rsidRPr="00807D55">
        <w:rPr>
          <w:rFonts w:hint="eastAsia"/>
          <w:sz w:val="24"/>
          <w:szCs w:val="24"/>
        </w:rPr>
        <w:t>12</w:t>
      </w:r>
      <w:r w:rsidRPr="00807D55">
        <w:rPr>
          <w:rFonts w:hint="eastAsia"/>
          <w:sz w:val="24"/>
          <w:szCs w:val="24"/>
        </w:rPr>
        <w:t>个月。</w:t>
      </w:r>
    </w:p>
    <w:p w14:paraId="591B1975" w14:textId="70EF6A72" w:rsidR="00977F5E" w:rsidRPr="00807D55" w:rsidRDefault="00807D55">
      <w:pPr>
        <w:spacing w:line="360" w:lineRule="auto"/>
        <w:ind w:firstLineChars="200" w:firstLine="480"/>
        <w:jc w:val="left"/>
        <w:rPr>
          <w:rFonts w:ascii="黑体" w:eastAsia="黑体" w:hAnsi="宋体" w:hint="eastAsia"/>
          <w:kern w:val="0"/>
          <w:sz w:val="24"/>
        </w:rPr>
      </w:pPr>
      <w:r w:rsidRPr="00807D55">
        <w:rPr>
          <w:rFonts w:ascii="黑体" w:eastAsia="黑体" w:hAnsi="宋体" w:hint="eastAsia"/>
          <w:kern w:val="0"/>
          <w:sz w:val="24"/>
        </w:rPr>
        <w:t>3 主要工作过程</w:t>
      </w:r>
    </w:p>
    <w:p w14:paraId="7FAC7624" w14:textId="77777777" w:rsidR="00977F5E" w:rsidRPr="00807D55" w:rsidRDefault="00000000">
      <w:pPr>
        <w:numPr>
          <w:ilvl w:val="0"/>
          <w:numId w:val="4"/>
        </w:numPr>
        <w:spacing w:line="360" w:lineRule="auto"/>
        <w:ind w:firstLineChars="200" w:firstLine="480"/>
        <w:rPr>
          <w:rFonts w:ascii="黑体" w:eastAsia="黑体" w:hAnsi="黑体" w:cs="黑体" w:hint="eastAsia"/>
          <w:sz w:val="24"/>
        </w:rPr>
      </w:pPr>
      <w:r w:rsidRPr="00807D55">
        <w:rPr>
          <w:rFonts w:ascii="黑体" w:eastAsia="黑体" w:hAnsi="黑体" w:cs="黑体" w:hint="eastAsia"/>
          <w:sz w:val="24"/>
        </w:rPr>
        <w:t>起草阶段</w:t>
      </w:r>
    </w:p>
    <w:p w14:paraId="163D3EB6" w14:textId="77777777" w:rsidR="00977F5E" w:rsidRPr="00807D55" w:rsidRDefault="00000000">
      <w:pPr>
        <w:spacing w:line="360" w:lineRule="auto"/>
        <w:ind w:firstLineChars="200" w:firstLine="480"/>
        <w:jc w:val="left"/>
        <w:rPr>
          <w:sz w:val="24"/>
          <w:szCs w:val="24"/>
        </w:rPr>
      </w:pPr>
      <w:r w:rsidRPr="00807D55">
        <w:rPr>
          <w:rFonts w:hint="eastAsia"/>
          <w:sz w:val="24"/>
          <w:szCs w:val="24"/>
        </w:rPr>
        <w:t>2025</w:t>
      </w:r>
      <w:r w:rsidRPr="00807D55">
        <w:rPr>
          <w:rFonts w:hint="eastAsia"/>
          <w:sz w:val="24"/>
          <w:szCs w:val="24"/>
        </w:rPr>
        <w:t>年</w:t>
      </w:r>
      <w:r w:rsidRPr="00807D55">
        <w:rPr>
          <w:rFonts w:hint="eastAsia"/>
          <w:sz w:val="24"/>
          <w:szCs w:val="24"/>
        </w:rPr>
        <w:t>8</w:t>
      </w:r>
      <w:r w:rsidRPr="00807D55">
        <w:rPr>
          <w:rFonts w:hint="eastAsia"/>
          <w:sz w:val="24"/>
          <w:szCs w:val="24"/>
        </w:rPr>
        <w:t>月</w:t>
      </w:r>
      <w:r w:rsidRPr="00807D55">
        <w:rPr>
          <w:rFonts w:hint="eastAsia"/>
          <w:sz w:val="24"/>
          <w:szCs w:val="24"/>
        </w:rPr>
        <w:t>6</w:t>
      </w:r>
      <w:r w:rsidRPr="00807D55">
        <w:rPr>
          <w:rFonts w:hint="eastAsia"/>
          <w:sz w:val="24"/>
          <w:szCs w:val="24"/>
        </w:rPr>
        <w:t>日，由全国金属餐饮及烹饪器具标准化技术委员会牵头组织成立了标准起草工作组，按照国家标准的管理要求，制定了该项目制定工作计划，展开了标准制定工作，</w:t>
      </w:r>
      <w:r w:rsidRPr="00807D55">
        <w:rPr>
          <w:rFonts w:ascii="Times New Roman" w:eastAsia="宋体" w:hint="eastAsia"/>
          <w:sz w:val="24"/>
          <w:szCs w:val="24"/>
        </w:rPr>
        <w:t>起草小组成员代表在收集并分析国内外相关标准、技术文献和资料的基础上</w:t>
      </w:r>
      <w:r w:rsidRPr="00807D55">
        <w:rPr>
          <w:rFonts w:hint="eastAsia"/>
          <w:sz w:val="24"/>
          <w:szCs w:val="24"/>
        </w:rPr>
        <w:t>，对标准起草过程中的难点问题进行了研究分析，结合国内银制餐用和装饰用器皿行业的市场发展现状共同确立了标准制定的主要条款、制定原则与核心指标，形成标准讨论稿。</w:t>
      </w:r>
    </w:p>
    <w:p w14:paraId="469B9ADE" w14:textId="77777777" w:rsidR="00977F5E" w:rsidRPr="00807D55" w:rsidRDefault="00000000">
      <w:pPr>
        <w:spacing w:line="360" w:lineRule="auto"/>
        <w:ind w:firstLineChars="200" w:firstLine="480"/>
        <w:jc w:val="left"/>
        <w:rPr>
          <w:sz w:val="24"/>
          <w:szCs w:val="24"/>
        </w:rPr>
      </w:pPr>
      <w:r w:rsidRPr="00807D55">
        <w:rPr>
          <w:rFonts w:hint="eastAsia"/>
          <w:sz w:val="24"/>
          <w:szCs w:val="24"/>
        </w:rPr>
        <w:t>2025</w:t>
      </w:r>
      <w:r w:rsidRPr="00807D55">
        <w:rPr>
          <w:rFonts w:hint="eastAsia"/>
          <w:sz w:val="24"/>
          <w:szCs w:val="24"/>
        </w:rPr>
        <w:t>年</w:t>
      </w:r>
      <w:r w:rsidRPr="00807D55">
        <w:rPr>
          <w:rFonts w:hint="eastAsia"/>
          <w:sz w:val="24"/>
          <w:szCs w:val="24"/>
        </w:rPr>
        <w:t>11</w:t>
      </w:r>
      <w:r w:rsidRPr="00807D55">
        <w:rPr>
          <w:rFonts w:hint="eastAsia"/>
          <w:sz w:val="24"/>
          <w:szCs w:val="24"/>
        </w:rPr>
        <w:t>月</w:t>
      </w:r>
      <w:r w:rsidRPr="00807D55">
        <w:rPr>
          <w:rFonts w:hint="eastAsia"/>
          <w:sz w:val="24"/>
          <w:szCs w:val="24"/>
        </w:rPr>
        <w:t>14</w:t>
      </w:r>
      <w:r w:rsidRPr="00807D55">
        <w:rPr>
          <w:rFonts w:hint="eastAsia"/>
          <w:sz w:val="24"/>
          <w:szCs w:val="24"/>
        </w:rPr>
        <w:t>日，秘书处组织召开第一次小组研讨会议，会上重点围绕银制餐用和装饰用器皿术语、性能、试验方法等关键技术性条款进行专项研讨，结合行业生产工艺、现有检测能力，对标现有标准，对重要指标逐条敲定，同时明确进一步工作安排。</w:t>
      </w:r>
    </w:p>
    <w:p w14:paraId="5A910CD1" w14:textId="77777777" w:rsidR="00977F5E" w:rsidRDefault="00000000">
      <w:pPr>
        <w:spacing w:line="360" w:lineRule="auto"/>
        <w:ind w:firstLineChars="200" w:firstLine="480"/>
        <w:jc w:val="left"/>
        <w:rPr>
          <w:sz w:val="24"/>
          <w:szCs w:val="24"/>
        </w:rPr>
      </w:pPr>
      <w:r w:rsidRPr="00807D55">
        <w:rPr>
          <w:rFonts w:hint="eastAsia"/>
          <w:sz w:val="24"/>
          <w:szCs w:val="24"/>
        </w:rPr>
        <w:t>2026</w:t>
      </w:r>
      <w:r w:rsidRPr="00807D55">
        <w:rPr>
          <w:rFonts w:hint="eastAsia"/>
          <w:sz w:val="24"/>
          <w:szCs w:val="24"/>
        </w:rPr>
        <w:t>年</w:t>
      </w:r>
      <w:r w:rsidRPr="00807D55">
        <w:rPr>
          <w:rFonts w:hint="eastAsia"/>
          <w:sz w:val="24"/>
          <w:szCs w:val="24"/>
        </w:rPr>
        <w:t>2</w:t>
      </w:r>
      <w:r w:rsidRPr="00807D55">
        <w:rPr>
          <w:rFonts w:hint="eastAsia"/>
          <w:sz w:val="24"/>
          <w:szCs w:val="24"/>
        </w:rPr>
        <w:t>月</w:t>
      </w:r>
      <w:r w:rsidRPr="00807D55">
        <w:rPr>
          <w:rFonts w:hint="eastAsia"/>
          <w:sz w:val="24"/>
          <w:szCs w:val="24"/>
        </w:rPr>
        <w:t>10</w:t>
      </w:r>
      <w:r w:rsidRPr="00807D55">
        <w:rPr>
          <w:rFonts w:hint="eastAsia"/>
          <w:sz w:val="24"/>
          <w:szCs w:val="24"/>
        </w:rPr>
        <w:t>日，秘书处组织召开第二次小组研讨会议，对照</w:t>
      </w:r>
      <w:r w:rsidRPr="00807D55">
        <w:rPr>
          <w:rFonts w:hint="eastAsia"/>
          <w:sz w:val="24"/>
          <w:szCs w:val="24"/>
        </w:rPr>
        <w:t>GB/T 1.1</w:t>
      </w:r>
      <w:r w:rsidRPr="00807D55">
        <w:rPr>
          <w:rFonts w:hint="eastAsia"/>
          <w:sz w:val="24"/>
          <w:szCs w:val="24"/>
        </w:rPr>
        <w:t>、</w:t>
      </w:r>
      <w:r w:rsidRPr="00807D55">
        <w:rPr>
          <w:rFonts w:hint="eastAsia"/>
          <w:sz w:val="24"/>
          <w:szCs w:val="24"/>
        </w:rPr>
        <w:t>GB/T 1.2</w:t>
      </w:r>
      <w:r w:rsidRPr="00807D55">
        <w:rPr>
          <w:rFonts w:hint="eastAsia"/>
          <w:sz w:val="24"/>
          <w:szCs w:val="24"/>
        </w:rPr>
        <w:t>相关要求，重点开展全面梳理国际标准章节结构、技术内容，严格遵循等同采用国家标准编制规则，逐一核查规范性引用文件版本有效性，对已废止、被替代的注日期国际标准进行甄别梳理，确定引用文件更新替换方案。统一国际标准转化编辑性修改原则、文本格式及表述规范，</w:t>
      </w:r>
      <w:r>
        <w:rPr>
          <w:rFonts w:hint="eastAsia"/>
          <w:sz w:val="24"/>
          <w:szCs w:val="24"/>
        </w:rPr>
        <w:t>整改文本表述不严谨、国内外条款不协调等问题，整合完善标准草案内容。</w:t>
      </w:r>
    </w:p>
    <w:p w14:paraId="09A5836C" w14:textId="77777777" w:rsidR="00977F5E" w:rsidRPr="00807D55" w:rsidRDefault="00000000">
      <w:pPr>
        <w:spacing w:line="360" w:lineRule="auto"/>
        <w:ind w:firstLineChars="200" w:firstLine="480"/>
        <w:jc w:val="left"/>
        <w:rPr>
          <w:sz w:val="24"/>
          <w:szCs w:val="24"/>
        </w:rPr>
      </w:pPr>
      <w:r>
        <w:rPr>
          <w:rFonts w:hint="eastAsia"/>
          <w:color w:val="000000"/>
          <w:sz w:val="24"/>
          <w:szCs w:val="24"/>
        </w:rPr>
        <w:t>2026</w:t>
      </w:r>
      <w:r>
        <w:rPr>
          <w:rFonts w:hint="eastAsia"/>
          <w:color w:val="000000"/>
          <w:sz w:val="24"/>
          <w:szCs w:val="24"/>
        </w:rPr>
        <w:t>年</w:t>
      </w:r>
      <w:r>
        <w:rPr>
          <w:rFonts w:hint="eastAsia"/>
          <w:color w:val="000000"/>
          <w:sz w:val="24"/>
          <w:szCs w:val="24"/>
        </w:rPr>
        <w:t>3</w:t>
      </w:r>
      <w:r>
        <w:rPr>
          <w:rFonts w:hint="eastAsia"/>
          <w:color w:val="000000"/>
          <w:sz w:val="24"/>
          <w:szCs w:val="24"/>
        </w:rPr>
        <w:t>月</w:t>
      </w:r>
      <w:r>
        <w:rPr>
          <w:rFonts w:hint="eastAsia"/>
          <w:color w:val="000000"/>
          <w:sz w:val="24"/>
          <w:szCs w:val="24"/>
        </w:rPr>
        <w:t>23</w:t>
      </w:r>
      <w:r>
        <w:rPr>
          <w:rFonts w:hint="eastAsia"/>
          <w:color w:val="000000"/>
          <w:sz w:val="24"/>
          <w:szCs w:val="24"/>
        </w:rPr>
        <w:t>日</w:t>
      </w:r>
      <w:r>
        <w:rPr>
          <w:rFonts w:hint="eastAsia"/>
          <w:color w:val="000000"/>
          <w:sz w:val="24"/>
          <w:szCs w:val="24"/>
        </w:rPr>
        <w:t>-24</w:t>
      </w:r>
      <w:r>
        <w:rPr>
          <w:rFonts w:hint="eastAsia"/>
          <w:color w:val="000000"/>
          <w:sz w:val="24"/>
          <w:szCs w:val="24"/>
        </w:rPr>
        <w:t>日，全国金属餐饮及烹饪器具标准化技术委员会（</w:t>
      </w:r>
      <w:r>
        <w:rPr>
          <w:rFonts w:hint="eastAsia"/>
          <w:sz w:val="24"/>
          <w:szCs w:val="24"/>
        </w:rPr>
        <w:t>TC410</w:t>
      </w:r>
      <w:r>
        <w:rPr>
          <w:rFonts w:hint="eastAsia"/>
          <w:color w:val="000000"/>
          <w:sz w:val="24"/>
          <w:szCs w:val="24"/>
        </w:rPr>
        <w:t>）组织在辽宁省沈阳市召开了第一次工作会议。会议由</w:t>
      </w:r>
      <w:r>
        <w:rPr>
          <w:rFonts w:hint="eastAsia"/>
          <w:sz w:val="24"/>
          <w:szCs w:val="24"/>
        </w:rPr>
        <w:t>TC410</w:t>
      </w:r>
      <w:r>
        <w:rPr>
          <w:rFonts w:hint="eastAsia"/>
          <w:sz w:val="24"/>
          <w:szCs w:val="24"/>
        </w:rPr>
        <w:t>单智华秘书长主持，她</w:t>
      </w:r>
      <w:r>
        <w:rPr>
          <w:rFonts w:hint="eastAsia"/>
          <w:color w:val="000000"/>
          <w:sz w:val="24"/>
          <w:szCs w:val="24"/>
        </w:rPr>
        <w:t>着重介绍了制定该项国家标准的工作程序，及召开本次会议的背景、</w:t>
      </w:r>
      <w:r>
        <w:rPr>
          <w:rFonts w:asciiTheme="minorEastAsia" w:hAnsiTheme="minorEastAsia" w:hint="eastAsia"/>
          <w:sz w:val="24"/>
          <w:szCs w:val="24"/>
        </w:rPr>
        <w:t>任务来源</w:t>
      </w:r>
      <w:r>
        <w:rPr>
          <w:rFonts w:hint="eastAsia"/>
          <w:color w:val="000000"/>
          <w:sz w:val="24"/>
          <w:szCs w:val="24"/>
        </w:rPr>
        <w:t>，并提出对本次制定《</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r>
        <w:rPr>
          <w:rFonts w:hint="eastAsia"/>
          <w:color w:val="000000"/>
          <w:sz w:val="24"/>
          <w:szCs w:val="24"/>
        </w:rPr>
        <w:t>》推荐性国家标准的指导思想、起草原则、及对起草小组的工作要求。她强调，在制定该项标准的过程中，</w:t>
      </w:r>
      <w:r>
        <w:rPr>
          <w:rFonts w:asciiTheme="minorEastAsia" w:hAnsiTheme="minorEastAsia" w:hint="eastAsia"/>
          <w:sz w:val="24"/>
          <w:szCs w:val="24"/>
        </w:rPr>
        <w:t>要有全局意识，立足在行业、消费者的角度考虑问题，有责任心和使</w:t>
      </w:r>
      <w:r w:rsidRPr="00807D55">
        <w:rPr>
          <w:rFonts w:asciiTheme="minorEastAsia" w:hAnsiTheme="minorEastAsia" w:hint="eastAsia"/>
          <w:sz w:val="24"/>
          <w:szCs w:val="24"/>
        </w:rPr>
        <w:t>命感。同时还要注意保证与相关标准体系的协调性，充分考虑国内行业发展实际情况。</w:t>
      </w:r>
      <w:r w:rsidRPr="00807D55">
        <w:rPr>
          <w:rFonts w:hint="eastAsia"/>
          <w:sz w:val="24"/>
          <w:szCs w:val="24"/>
        </w:rPr>
        <w:t>共</w:t>
      </w:r>
      <w:r w:rsidRPr="00807D55">
        <w:rPr>
          <w:rFonts w:hint="eastAsia"/>
          <w:sz w:val="24"/>
          <w:szCs w:val="24"/>
        </w:rPr>
        <w:t>7</w:t>
      </w:r>
      <w:r w:rsidRPr="00807D55">
        <w:rPr>
          <w:rFonts w:hint="eastAsia"/>
          <w:sz w:val="24"/>
          <w:szCs w:val="24"/>
        </w:rPr>
        <w:t>家单位</w:t>
      </w:r>
      <w:r w:rsidRPr="00807D55">
        <w:rPr>
          <w:rFonts w:hint="eastAsia"/>
          <w:sz w:val="24"/>
          <w:szCs w:val="24"/>
        </w:rPr>
        <w:t>19</w:t>
      </w:r>
      <w:r w:rsidRPr="00807D55">
        <w:rPr>
          <w:rFonts w:hint="eastAsia"/>
          <w:sz w:val="24"/>
          <w:szCs w:val="24"/>
        </w:rPr>
        <w:t>名代表参加了会议，与会代表讨</w:t>
      </w:r>
      <w:r w:rsidRPr="00807D55">
        <w:rPr>
          <w:rFonts w:hint="eastAsia"/>
          <w:sz w:val="24"/>
          <w:szCs w:val="24"/>
        </w:rPr>
        <w:lastRenderedPageBreak/>
        <w:t>论确定了标准的主要制定条款、制定原则和核心指标，以及验证项目。</w:t>
      </w:r>
    </w:p>
    <w:p w14:paraId="2DAF8361" w14:textId="77777777" w:rsidR="00977F5E"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全体起草组专家代表对标准草案进行了逐条、逐句的认真研究与讨论，对</w:t>
      </w:r>
      <w:r>
        <w:rPr>
          <w:rFonts w:ascii="宋体" w:eastAsia="宋体" w:hAnsi="宋体" w:cs="宋体" w:hint="eastAsia"/>
          <w:sz w:val="24"/>
          <w:szCs w:val="24"/>
        </w:rPr>
        <w:t>标准草案的相关内容提出了建设性的意见和建议，</w:t>
      </w:r>
      <w:r>
        <w:rPr>
          <w:rFonts w:asciiTheme="minorEastAsia" w:hAnsiTheme="minorEastAsia" w:hint="eastAsia"/>
          <w:sz w:val="24"/>
          <w:szCs w:val="24"/>
        </w:rPr>
        <w:t>对以下修改方案达成共识：</w:t>
      </w:r>
    </w:p>
    <w:p w14:paraId="414FDC1B" w14:textId="77777777" w:rsidR="00977F5E" w:rsidRDefault="00000000">
      <w:pPr>
        <w:pStyle w:val="af3"/>
        <w:numPr>
          <w:ilvl w:val="0"/>
          <w:numId w:val="5"/>
        </w:numPr>
        <w:spacing w:line="360" w:lineRule="auto"/>
        <w:ind w:firstLineChars="0"/>
        <w:rPr>
          <w:rFonts w:asciiTheme="minorEastAsia" w:hAnsiTheme="minorEastAsia" w:hint="eastAsia"/>
          <w:sz w:val="24"/>
          <w:szCs w:val="24"/>
        </w:rPr>
      </w:pPr>
      <w:r>
        <w:rPr>
          <w:rFonts w:asciiTheme="minorEastAsia" w:hAnsiTheme="minorEastAsia" w:hint="eastAsia"/>
          <w:sz w:val="24"/>
          <w:szCs w:val="24"/>
        </w:rPr>
        <w:t>根据GB/T 1.1和GB/T 1.2要求修改了“前言”。</w:t>
      </w:r>
    </w:p>
    <w:p w14:paraId="2FBBD6AB" w14:textId="77777777" w:rsidR="00977F5E" w:rsidRDefault="00000000">
      <w:pPr>
        <w:spacing w:line="360" w:lineRule="auto"/>
        <w:ind w:left="480"/>
        <w:rPr>
          <w:rFonts w:asciiTheme="minorEastAsia" w:hAnsiTheme="minorEastAsia" w:hint="eastAsia"/>
          <w:sz w:val="24"/>
          <w:szCs w:val="24"/>
        </w:rPr>
      </w:pPr>
      <w:r>
        <w:rPr>
          <w:rFonts w:asciiTheme="minorEastAsia" w:hAnsiTheme="minorEastAsia" w:hint="eastAsia"/>
          <w:sz w:val="24"/>
          <w:szCs w:val="24"/>
        </w:rPr>
        <w:t>2、修改了 “范围”的表述。</w:t>
      </w:r>
    </w:p>
    <w:p w14:paraId="54273650" w14:textId="77777777" w:rsidR="00977F5E"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3、规范性引用文件中ISO 6508:1986已经废止，改为“ISO 6508-1:2023”。</w:t>
      </w:r>
    </w:p>
    <w:p w14:paraId="7F5B6CE1" w14:textId="77777777" w:rsidR="00977F5E"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4、确定表1中标准“EN 10088-1:1995”是否有国际或国家标准替代。</w:t>
      </w:r>
    </w:p>
    <w:p w14:paraId="716D016D" w14:textId="77777777" w:rsidR="00977F5E"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5、修改条款6.3，将国际标准改为转化后的国家标准。</w:t>
      </w:r>
    </w:p>
    <w:p w14:paraId="7DDC9F04" w14:textId="77777777" w:rsidR="00977F5E"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6、修改了“附录A”中“原理”表述。</w:t>
      </w:r>
    </w:p>
    <w:p w14:paraId="13CD565D" w14:textId="77777777" w:rsidR="00977F5E" w:rsidRDefault="00000000">
      <w:pPr>
        <w:spacing w:line="360" w:lineRule="auto"/>
        <w:ind w:firstLineChars="200" w:firstLine="480"/>
        <w:rPr>
          <w:color w:val="000000"/>
          <w:sz w:val="24"/>
          <w:szCs w:val="24"/>
        </w:rPr>
      </w:pPr>
      <w:r>
        <w:rPr>
          <w:rFonts w:ascii="Times New Roman" w:eastAsia="宋体" w:hAnsi="Times New Roman" w:cs="Times New Roman" w:hint="eastAsia"/>
          <w:sz w:val="24"/>
          <w:szCs w:val="24"/>
        </w:rPr>
        <w:t>会后，起草小组对标准稿进行了编辑修改，形成了《</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r>
        <w:rPr>
          <w:rFonts w:ascii="Times New Roman" w:eastAsia="宋体" w:hAnsi="Times New Roman" w:cs="Times New Roman" w:hint="eastAsia"/>
          <w:sz w:val="24"/>
          <w:szCs w:val="24"/>
        </w:rPr>
        <w:t>》国家标准征求意见稿，</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28</w:t>
      </w:r>
      <w:r>
        <w:rPr>
          <w:rFonts w:ascii="Times New Roman" w:eastAsia="宋体" w:hAnsi="Times New Roman" w:cs="Times New Roman" w:hint="eastAsia"/>
          <w:sz w:val="24"/>
          <w:szCs w:val="24"/>
        </w:rPr>
        <w:t>日经标准负责起草单位审核后，报全国金属餐饮及烹饪器具标准化技术委员会秘书处。</w:t>
      </w:r>
    </w:p>
    <w:p w14:paraId="4776F5A4" w14:textId="77777777" w:rsidR="00977F5E"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二、标准编制原则和主要内容</w:t>
      </w:r>
    </w:p>
    <w:p w14:paraId="39BA75D6" w14:textId="77777777" w:rsidR="00977F5E" w:rsidRDefault="00000000">
      <w:pPr>
        <w:spacing w:before="100" w:beforeAutospacing="1" w:afterLines="50" w:after="156" w:line="360" w:lineRule="auto"/>
        <w:ind w:firstLineChars="200" w:firstLine="480"/>
        <w:jc w:val="left"/>
        <w:rPr>
          <w:rFonts w:ascii="黑体" w:eastAsia="黑体" w:hAnsi="宋体" w:hint="eastAsia"/>
          <w:kern w:val="0"/>
          <w:sz w:val="24"/>
          <w:szCs w:val="24"/>
        </w:rPr>
      </w:pPr>
      <w:r>
        <w:rPr>
          <w:rFonts w:ascii="黑体" w:eastAsia="黑体" w:hAnsi="宋体" w:hint="eastAsia"/>
          <w:kern w:val="0"/>
          <w:sz w:val="24"/>
          <w:szCs w:val="24"/>
        </w:rPr>
        <w:t>1、标准编制原则</w:t>
      </w:r>
    </w:p>
    <w:p w14:paraId="414763BD" w14:textId="77777777" w:rsidR="00977F5E"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1）本标准的制定根据《中华人民共和国标准化法》及有关法规、规章，按</w:t>
      </w:r>
      <w:r>
        <w:rPr>
          <w:rFonts w:ascii="宋体" w:eastAsia="宋体" w:hAnsi="宋体" w:cs="宋体" w:hint="eastAsia"/>
          <w:sz w:val="24"/>
          <w:szCs w:val="24"/>
        </w:rPr>
        <w:t>GB/T 1.1―2020《标准化工作导则  第1部分：标准化文件的结构和起草规则》</w:t>
      </w:r>
      <w:r>
        <w:rPr>
          <w:rFonts w:asciiTheme="minorEastAsia" w:hAnsiTheme="minorEastAsia" w:hint="eastAsia"/>
          <w:sz w:val="24"/>
          <w:szCs w:val="24"/>
        </w:rPr>
        <w:t>和GB/T 1.2《标准化工作导则 第2部分：以ISO/IEC标准化文件为基础的标准化文件起草规则》</w:t>
      </w:r>
      <w:r>
        <w:rPr>
          <w:rFonts w:ascii="宋体" w:eastAsia="宋体" w:hAnsi="宋体" w:cs="宋体" w:hint="eastAsia"/>
          <w:sz w:val="24"/>
          <w:szCs w:val="24"/>
        </w:rPr>
        <w:t>的要求进行编写。</w:t>
      </w:r>
    </w:p>
    <w:p w14:paraId="6ACA310F" w14:textId="77777777" w:rsidR="00977F5E" w:rsidRDefault="00000000">
      <w:pPr>
        <w:spacing w:line="360" w:lineRule="auto"/>
        <w:ind w:firstLineChars="200" w:firstLine="480"/>
        <w:jc w:val="left"/>
        <w:rPr>
          <w:rFonts w:ascii="宋体" w:eastAsia="宋体" w:hAnsi="宋体" w:cs="宋体" w:hint="eastAsia"/>
          <w:color w:val="FF0000"/>
          <w:sz w:val="24"/>
          <w:szCs w:val="24"/>
        </w:rPr>
      </w:pPr>
      <w:r>
        <w:rPr>
          <w:rFonts w:ascii="宋体" w:eastAsia="宋体" w:hAnsi="宋体" w:cs="宋体" w:hint="eastAsia"/>
          <w:color w:val="000000"/>
          <w:sz w:val="24"/>
          <w:szCs w:val="24"/>
        </w:rPr>
        <w:t>2）根据TC410对起草小组提出的要求：以高度责任感、使命感，认真、科学、严谨的态度来完成这次标准制定工作，等同转换ISO 8442-4标准的同时，也要可考虑到中国镀银餐具行业情况。</w:t>
      </w:r>
    </w:p>
    <w:p w14:paraId="69C8FFC3" w14:textId="77777777" w:rsidR="00977F5E"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3）本标准一律采用国家法定计量单位。</w:t>
      </w:r>
    </w:p>
    <w:p w14:paraId="5F08CAA8" w14:textId="77777777" w:rsidR="00977F5E"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4）有些条款和试验方法通过试验验证，同时考虑到国内各检验部门及生产企业的实际情况，尽量采用相近的国家标准和行业标准的试验方法，确保了标准的可操作性。</w:t>
      </w:r>
    </w:p>
    <w:p w14:paraId="6F5381AB" w14:textId="77777777" w:rsidR="00977F5E"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5）本标准的构成部分</w:t>
      </w:r>
    </w:p>
    <w:p w14:paraId="71A279E0" w14:textId="77777777" w:rsidR="00977F5E" w:rsidRDefault="00000000">
      <w:pPr>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本标准编写的格式根据国家标准化工作原则确定如下： 封面；目次；前言；</w:t>
      </w:r>
      <w:r>
        <w:rPr>
          <w:rFonts w:ascii="宋体" w:eastAsia="宋体" w:hAnsi="宋体" w:cs="宋体" w:hint="eastAsia"/>
          <w:color w:val="000000"/>
          <w:sz w:val="24"/>
          <w:szCs w:val="24"/>
        </w:rPr>
        <w:lastRenderedPageBreak/>
        <w:t>范围；规范性引用文件；术语和定义；要求；试验方法；标志、标签、。</w:t>
      </w:r>
    </w:p>
    <w:p w14:paraId="012A70DA" w14:textId="77777777" w:rsidR="00977F5E"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2、主要内容的说明</w:t>
      </w:r>
    </w:p>
    <w:p w14:paraId="54381304" w14:textId="77777777" w:rsidR="00977F5E" w:rsidRDefault="00000000">
      <w:pPr>
        <w:spacing w:before="100" w:beforeAutospacing="1" w:afterLines="50" w:after="156" w:line="360" w:lineRule="auto"/>
        <w:ind w:firstLineChars="200" w:firstLine="480"/>
        <w:jc w:val="left"/>
        <w:rPr>
          <w:rFonts w:ascii="宋体" w:eastAsia="宋体" w:hAnsi="宋体" w:hint="eastAsia"/>
          <w:kern w:val="0"/>
          <w:sz w:val="24"/>
        </w:rPr>
      </w:pPr>
      <w:r>
        <w:rPr>
          <w:rFonts w:ascii="宋体" w:eastAsia="宋体" w:hAnsi="宋体" w:hint="eastAsia"/>
          <w:kern w:val="0"/>
          <w:sz w:val="24"/>
        </w:rPr>
        <w:t>1）前言</w:t>
      </w:r>
    </w:p>
    <w:p w14:paraId="063E66A9"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sz w:val="24"/>
          <w:szCs w:val="24"/>
        </w:rPr>
        <w:t>删除了</w:t>
      </w:r>
      <w:r>
        <w:rPr>
          <w:rFonts w:ascii="宋体" w:eastAsia="宋体" w:hAnsi="宋体" w:hint="eastAsia"/>
          <w:sz w:val="24"/>
          <w:szCs w:val="24"/>
        </w:rPr>
        <w:t>ISO 8442-3:1997</w:t>
      </w:r>
      <w:r>
        <w:rPr>
          <w:rFonts w:ascii="宋体" w:eastAsia="宋体" w:hAnsi="宋体"/>
          <w:sz w:val="24"/>
          <w:szCs w:val="24"/>
        </w:rPr>
        <w:t>的前言部分</w:t>
      </w:r>
      <w:r>
        <w:rPr>
          <w:rFonts w:ascii="宋体" w:eastAsia="宋体" w:hAnsi="宋体" w:hint="eastAsia"/>
          <w:sz w:val="24"/>
          <w:szCs w:val="24"/>
        </w:rPr>
        <w:t>;修改了规范性引用的国际标准，以等同采用的国家标准代替。前言部分中增加了ISO8442</w:t>
      </w:r>
      <w:r>
        <w:rPr>
          <w:rFonts w:ascii="宋体" w:eastAsia="宋体" w:hAnsi="宋体"/>
          <w:sz w:val="24"/>
          <w:szCs w:val="24"/>
        </w:rPr>
        <w:t>标准的组成部分</w:t>
      </w:r>
      <w:r>
        <w:rPr>
          <w:rFonts w:ascii="宋体" w:eastAsia="宋体" w:hAnsi="宋体" w:hint="eastAsia"/>
          <w:sz w:val="24"/>
          <w:szCs w:val="24"/>
        </w:rPr>
        <w:t>：</w:t>
      </w:r>
    </w:p>
    <w:p w14:paraId="22F5170C" w14:textId="77777777" w:rsidR="00977F5E" w:rsidRDefault="00000000">
      <w:pPr>
        <w:spacing w:line="360" w:lineRule="auto"/>
        <w:jc w:val="left"/>
        <w:rPr>
          <w:rFonts w:ascii="宋体" w:eastAsia="宋体" w:hAnsi="宋体" w:hint="eastAsia"/>
          <w:sz w:val="24"/>
          <w:szCs w:val="24"/>
        </w:rPr>
      </w:pPr>
      <w:r>
        <w:rPr>
          <w:rFonts w:ascii="宋体" w:eastAsia="宋体" w:hAnsi="宋体" w:hint="eastAsia"/>
          <w:sz w:val="24"/>
          <w:szCs w:val="24"/>
        </w:rPr>
        <w:t>ISO 8442由以下部分组成，总标题为：接触食物的制品及材料—餐具和餐桌用器皿。</w:t>
      </w:r>
    </w:p>
    <w:p w14:paraId="2F81DCEF"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ISO 8442包括以下部分：</w:t>
      </w:r>
    </w:p>
    <w:p w14:paraId="240591CC"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—第1部分：食品制备用刀具技术要求</w:t>
      </w:r>
    </w:p>
    <w:p w14:paraId="04B6F1D7"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—第2部分：不锈钢和镀银餐具技术要求</w:t>
      </w:r>
    </w:p>
    <w:p w14:paraId="79687774"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—第3部门：镀银餐用和装饰用器皿技术要求</w:t>
      </w:r>
    </w:p>
    <w:p w14:paraId="37BB9FBE"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—第4部分：镀金餐具技术要求</w:t>
      </w:r>
    </w:p>
    <w:p w14:paraId="33EC0694"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—第5部分：刀具锋利度和耐用度测试方法</w:t>
      </w:r>
    </w:p>
    <w:p w14:paraId="00C52B58"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—第6部分：漆保护轻微镀银餐桌用器皿</w:t>
      </w:r>
    </w:p>
    <w:p w14:paraId="271C7EB3"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—第7部分：银、其他贵金属及其合金制成的餐桌餐具技术要求</w:t>
      </w:r>
    </w:p>
    <w:p w14:paraId="0B35678F"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—第8部分：银制餐用及装饰用器皿技术要求</w:t>
      </w:r>
    </w:p>
    <w:p w14:paraId="1AD27F5A"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—第9部分：陶瓷刀的技术要求</w:t>
      </w:r>
    </w:p>
    <w:p w14:paraId="186C69D7" w14:textId="77777777" w:rsidR="00977F5E"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附录B到附录F作为ISO 8442的规范性内容，附录A仅为资料性内容。</w:t>
      </w:r>
    </w:p>
    <w:p w14:paraId="1225198A"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1）范围</w:t>
      </w:r>
    </w:p>
    <w:p w14:paraId="34517659"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本文件规定了供餐桌上使用的银质餐具及装饰用器皿的材料、性能和标记要求。</w:t>
      </w:r>
    </w:p>
    <w:p w14:paraId="343600CC"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本文件适用于花瓶、烛台等装饰用品，并包括水壶、盘碟、茶壶和咖啡壶、托盘、汤盆以及冷酒器等制品。</w:t>
      </w:r>
    </w:p>
    <w:p w14:paraId="16C966BE"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2）规范性引用文件</w:t>
      </w:r>
    </w:p>
    <w:p w14:paraId="477753F0" w14:textId="77777777" w:rsidR="00977F5E" w:rsidRDefault="00000000">
      <w:pPr>
        <w:spacing w:line="360" w:lineRule="auto"/>
        <w:ind w:firstLineChars="200" w:firstLine="480"/>
        <w:jc w:val="left"/>
        <w:rPr>
          <w:rFonts w:ascii="宋体" w:eastAsia="宋体" w:hAnsi="宋体" w:cs="宋体" w:hint="eastAsia"/>
          <w:color w:val="000000"/>
          <w:sz w:val="24"/>
        </w:rPr>
      </w:pPr>
      <w:r>
        <w:rPr>
          <w:rFonts w:hint="eastAsia"/>
          <w:color w:val="000000"/>
          <w:sz w:val="24"/>
        </w:rPr>
        <w:t>等同采用</w:t>
      </w:r>
      <w:r>
        <w:rPr>
          <w:rFonts w:hint="eastAsia"/>
          <w:color w:val="000000"/>
          <w:sz w:val="24"/>
        </w:rPr>
        <w:t>ISO 8442-8</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r>
        <w:rPr>
          <w:rFonts w:ascii="宋体" w:eastAsia="宋体" w:hAnsi="宋体" w:hint="eastAsia"/>
          <w:sz w:val="24"/>
          <w:szCs w:val="24"/>
        </w:rPr>
        <w:t>规范性引用的国际标准，以等同采用的国家标准代替。</w:t>
      </w:r>
    </w:p>
    <w:p w14:paraId="47DBF644"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15067.1-1994  不锈钢餐具 术语（ISO 4481:1977，IDT）</w:t>
      </w:r>
    </w:p>
    <w:p w14:paraId="5C836937"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lastRenderedPageBreak/>
        <w:t>3）术语和定义</w:t>
      </w:r>
    </w:p>
    <w:p w14:paraId="38684D01" w14:textId="77777777" w:rsidR="00977F5E"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8442-8</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p>
    <w:p w14:paraId="145EFA08"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15067.1-1994 《不锈钢餐具 术语》、</w:t>
      </w:r>
      <w:r>
        <w:rPr>
          <w:rFonts w:hint="eastAsia"/>
          <w:color w:val="000000"/>
          <w:sz w:val="24"/>
        </w:rPr>
        <w:t>ISO 8442-8</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r>
        <w:rPr>
          <w:rFonts w:ascii="宋体" w:eastAsia="宋体" w:hAnsi="宋体" w:cs="宋体" w:hint="eastAsia"/>
          <w:color w:val="000000"/>
          <w:sz w:val="24"/>
        </w:rPr>
        <w:t>以及下列术语和定义适用于本文件。</w:t>
      </w:r>
    </w:p>
    <w:p w14:paraId="1AAAB024"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3.1）餐桌用器皿</w:t>
      </w:r>
    </w:p>
    <w:p w14:paraId="21342780" w14:textId="77777777" w:rsidR="00977F5E" w:rsidRDefault="00000000">
      <w:pPr>
        <w:spacing w:line="360" w:lineRule="auto"/>
        <w:ind w:firstLineChars="200" w:firstLine="480"/>
        <w:jc w:val="left"/>
        <w:rPr>
          <w:rFonts w:ascii="宋体" w:eastAsia="宋体" w:hAnsi="宋体" w:cs="宋体" w:hint="eastAsia"/>
          <w:color w:val="000000"/>
          <w:sz w:val="24"/>
        </w:rPr>
      </w:pPr>
      <w:bookmarkStart w:id="1" w:name="_Hlk224224839"/>
      <w:r>
        <w:rPr>
          <w:rFonts w:ascii="宋体" w:eastAsia="宋体" w:hAnsi="宋体" w:cs="宋体" w:hint="eastAsia"/>
          <w:color w:val="000000"/>
          <w:sz w:val="24"/>
        </w:rPr>
        <w:t>该类产品一般为凹形，主要用于盛放食品或饮料</w:t>
      </w:r>
      <w:bookmarkEnd w:id="1"/>
      <w:r>
        <w:rPr>
          <w:rFonts w:ascii="宋体" w:eastAsia="宋体" w:hAnsi="宋体" w:cs="宋体" w:hint="eastAsia"/>
          <w:color w:val="000000"/>
          <w:sz w:val="24"/>
        </w:rPr>
        <w:t>（见附录A）。</w:t>
      </w:r>
    </w:p>
    <w:p w14:paraId="68DC2BD8"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3.2）装饰用器皿 </w:t>
      </w:r>
    </w:p>
    <w:p w14:paraId="618AEF35"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该类产品一般为凹形，但不用于盛放食品或饮料，且包括不具有明显内部表面的器皿。</w:t>
      </w:r>
    </w:p>
    <w:p w14:paraId="2A07BA1E"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3.3）附件 </w:t>
      </w:r>
    </w:p>
    <w:p w14:paraId="057BE007"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通过焊接</w:t>
      </w:r>
      <w:r>
        <w:rPr>
          <w:rFonts w:ascii="宋体" w:eastAsia="宋体" w:hAnsi="宋体" w:cs="宋体" w:hint="eastAsia"/>
          <w:color w:val="000000"/>
          <w:sz w:val="24"/>
        </w:rPr>
        <w:t>和组装等</w:t>
      </w:r>
      <w:r>
        <w:rPr>
          <w:rFonts w:ascii="宋体" w:eastAsia="宋体" w:hAnsi="宋体" w:cs="宋体"/>
          <w:color w:val="000000"/>
          <w:sz w:val="24"/>
        </w:rPr>
        <w:t>工艺连接</w:t>
      </w:r>
      <w:r>
        <w:rPr>
          <w:rFonts w:ascii="宋体" w:eastAsia="宋体" w:hAnsi="宋体" w:cs="宋体" w:hint="eastAsia"/>
          <w:color w:val="000000"/>
          <w:sz w:val="24"/>
        </w:rPr>
        <w:t>到</w:t>
      </w:r>
      <w:r>
        <w:rPr>
          <w:rFonts w:ascii="宋体" w:eastAsia="宋体" w:hAnsi="宋体" w:cs="宋体"/>
          <w:color w:val="000000"/>
          <w:sz w:val="24"/>
        </w:rPr>
        <w:t>器皿主体的部件，</w:t>
      </w:r>
      <w:r>
        <w:rPr>
          <w:rFonts w:ascii="宋体" w:eastAsia="宋体" w:hAnsi="宋体" w:cs="宋体" w:hint="eastAsia"/>
          <w:color w:val="000000"/>
          <w:sz w:val="24"/>
        </w:rPr>
        <w:t>通常包括手柄、旋钮、支脚、喷嘴、杆和铰链</w:t>
      </w:r>
      <w:r>
        <w:rPr>
          <w:rFonts w:ascii="宋体" w:eastAsia="宋体" w:hAnsi="宋体" w:cs="宋体"/>
          <w:color w:val="000000"/>
          <w:sz w:val="24"/>
        </w:rPr>
        <w:t>等。</w:t>
      </w:r>
    </w:p>
    <w:p w14:paraId="7C4E18D2"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起草小组讨论后将原文中的“</w:t>
      </w:r>
      <w:r>
        <w:rPr>
          <w:rFonts w:ascii="宋体" w:eastAsia="宋体" w:hAnsi="宋体" w:cs="宋体"/>
          <w:color w:val="000000"/>
          <w:sz w:val="24"/>
        </w:rPr>
        <w:t>by a process such as welding, brazing</w:t>
      </w:r>
      <w:r>
        <w:rPr>
          <w:rFonts w:ascii="宋体" w:eastAsia="宋体" w:hAnsi="宋体" w:cs="宋体" w:hint="eastAsia"/>
          <w:color w:val="000000"/>
          <w:sz w:val="24"/>
        </w:rPr>
        <w:t xml:space="preserve"> </w:t>
      </w:r>
      <w:r>
        <w:rPr>
          <w:rFonts w:ascii="宋体" w:eastAsia="宋体" w:hAnsi="宋体" w:cs="宋体"/>
          <w:color w:val="000000"/>
          <w:sz w:val="24"/>
        </w:rPr>
        <w:t>or soldering and comprising</w:t>
      </w:r>
      <w:r>
        <w:rPr>
          <w:rFonts w:ascii="宋体" w:eastAsia="宋体" w:hAnsi="宋体" w:cs="宋体" w:hint="eastAsia"/>
          <w:color w:val="000000"/>
          <w:sz w:val="24"/>
        </w:rPr>
        <w:t>”翻译为“通过焊接和组装工艺”。</w:t>
      </w:r>
    </w:p>
    <w:p w14:paraId="5B1B3DE7"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3.4）承重附件 </w:t>
      </w:r>
    </w:p>
    <w:p w14:paraId="3F22AC72" w14:textId="77777777" w:rsidR="00977F5E" w:rsidRDefault="00000000">
      <w:pPr>
        <w:spacing w:line="360" w:lineRule="auto"/>
        <w:ind w:firstLineChars="200" w:firstLine="480"/>
        <w:jc w:val="left"/>
        <w:rPr>
          <w:rFonts w:ascii="宋体" w:eastAsia="宋体" w:hAnsi="宋体" w:cs="宋体" w:hint="eastAsia"/>
          <w:color w:val="000000"/>
          <w:sz w:val="24"/>
        </w:rPr>
      </w:pPr>
      <w:bookmarkStart w:id="2" w:name="_Hlk224225530"/>
      <w:r>
        <w:rPr>
          <w:rFonts w:ascii="宋体" w:eastAsia="宋体" w:hAnsi="宋体" w:cs="宋体" w:hint="eastAsia"/>
          <w:color w:val="000000"/>
          <w:sz w:val="24"/>
        </w:rPr>
        <w:t>在正常使用条件下，用于承受器皿和或其内容物重量的附件。这些附件包括把手、喷嘴、支脚、底座和高脚杯柄。</w:t>
      </w:r>
    </w:p>
    <w:bookmarkEnd w:id="2"/>
    <w:p w14:paraId="303E6FFA"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3.5）毛刺  </w:t>
      </w:r>
    </w:p>
    <w:p w14:paraId="665A8623" w14:textId="77777777" w:rsidR="00977F5E" w:rsidRDefault="00000000">
      <w:pPr>
        <w:spacing w:line="360" w:lineRule="auto"/>
        <w:ind w:firstLineChars="200" w:firstLine="480"/>
        <w:jc w:val="left"/>
        <w:rPr>
          <w:rFonts w:ascii="宋体" w:eastAsia="宋体" w:hAnsi="宋体" w:cs="宋体" w:hint="eastAsia"/>
          <w:color w:val="000000"/>
          <w:sz w:val="24"/>
        </w:rPr>
      </w:pPr>
      <w:bookmarkStart w:id="3" w:name="_Hlk224225610"/>
      <w:r>
        <w:rPr>
          <w:rFonts w:ascii="宋体" w:eastAsia="宋体" w:hAnsi="宋体" w:cs="宋体" w:hint="eastAsia"/>
          <w:color w:val="000000"/>
          <w:sz w:val="24"/>
        </w:rPr>
        <w:t>产品上超出形状要求的金属部分，一般是以薄片状出现。</w:t>
      </w:r>
    </w:p>
    <w:bookmarkEnd w:id="3"/>
    <w:p w14:paraId="39D8CF05"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3.6）有效容量 </w:t>
      </w:r>
    </w:p>
    <w:p w14:paraId="4D8AD8A5"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按要求注入容器至其上口边缘下方15</w:t>
      </w:r>
      <w:r>
        <w:rPr>
          <w:rFonts w:ascii="宋体" w:eastAsia="宋体" w:hAnsi="宋体" w:cs="宋体"/>
          <w:color w:val="000000"/>
          <w:sz w:val="24"/>
        </w:rPr>
        <w:t>mm</w:t>
      </w:r>
      <w:r>
        <w:rPr>
          <w:rFonts w:ascii="宋体" w:eastAsia="宋体" w:hAnsi="宋体" w:cs="宋体" w:hint="eastAsia"/>
          <w:color w:val="000000"/>
          <w:sz w:val="24"/>
        </w:rPr>
        <w:t>±</w:t>
      </w:r>
      <w:r>
        <w:rPr>
          <w:rFonts w:ascii="宋体" w:eastAsia="宋体" w:hAnsi="宋体" w:cs="宋体"/>
          <w:color w:val="000000"/>
          <w:sz w:val="24"/>
        </w:rPr>
        <w:t>1mm</w:t>
      </w:r>
      <w:r>
        <w:rPr>
          <w:rFonts w:ascii="宋体" w:eastAsia="宋体" w:hAnsi="宋体" w:cs="宋体" w:hint="eastAsia"/>
          <w:color w:val="000000"/>
          <w:sz w:val="24"/>
        </w:rPr>
        <w:t>的位置时的液体体积。</w:t>
      </w:r>
    </w:p>
    <w:p w14:paraId="62A60602"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3.7）凹变  </w:t>
      </w:r>
    </w:p>
    <w:p w14:paraId="1641734A" w14:textId="77777777" w:rsidR="00977F5E" w:rsidRDefault="00000000">
      <w:pPr>
        <w:spacing w:line="360" w:lineRule="auto"/>
        <w:ind w:firstLineChars="200" w:firstLine="480"/>
        <w:jc w:val="left"/>
        <w:rPr>
          <w:rFonts w:ascii="宋体" w:eastAsia="宋体" w:hAnsi="宋体" w:cs="宋体" w:hint="eastAsia"/>
          <w:color w:val="000000"/>
          <w:sz w:val="24"/>
        </w:rPr>
      </w:pPr>
      <w:bookmarkStart w:id="4" w:name="_Hlk224225994"/>
      <w:r>
        <w:rPr>
          <w:rFonts w:ascii="宋体" w:eastAsia="宋体" w:hAnsi="宋体" w:cs="宋体" w:hint="eastAsia"/>
          <w:color w:val="000000"/>
          <w:sz w:val="24"/>
        </w:rPr>
        <w:t>当用一负载施加到器皿凸边时，凹形器皿的外表面从凸面转变为凹面，通常都伴有明显的的响声。</w:t>
      </w:r>
    </w:p>
    <w:bookmarkEnd w:id="4"/>
    <w:p w14:paraId="67F09B52"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起草小组讨论后认为原文中的“popping”翻译为“凹变”更合理。</w:t>
      </w:r>
    </w:p>
    <w:p w14:paraId="148396E5"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 材料</w:t>
      </w:r>
    </w:p>
    <w:p w14:paraId="17409D92" w14:textId="77777777" w:rsidR="00977F5E" w:rsidRDefault="00000000">
      <w:pPr>
        <w:spacing w:line="360" w:lineRule="auto"/>
        <w:ind w:firstLineChars="200" w:firstLine="480"/>
        <w:jc w:val="left"/>
        <w:rPr>
          <w:color w:val="000000"/>
          <w:sz w:val="24"/>
        </w:rPr>
      </w:pPr>
      <w:r>
        <w:rPr>
          <w:rFonts w:ascii="宋体" w:eastAsia="宋体" w:hAnsi="宋体" w:cs="宋体" w:hint="eastAsia"/>
          <w:color w:val="000000"/>
          <w:sz w:val="24"/>
        </w:rPr>
        <w:t>4.1）</w:t>
      </w:r>
      <w:r>
        <w:rPr>
          <w:rFonts w:hint="eastAsia"/>
          <w:color w:val="000000"/>
          <w:sz w:val="24"/>
        </w:rPr>
        <w:t>餐桌用和装饰用的凹形器皿应由纯度为</w:t>
      </w:r>
      <w:r>
        <w:rPr>
          <w:rFonts w:hint="eastAsia"/>
          <w:color w:val="000000"/>
          <w:sz w:val="24"/>
        </w:rPr>
        <w:t>800</w:t>
      </w:r>
      <w:r>
        <w:rPr>
          <w:rFonts w:hint="eastAsia"/>
          <w:color w:val="000000"/>
          <w:sz w:val="24"/>
        </w:rPr>
        <w:t>（以千分之一表示）的银</w:t>
      </w:r>
      <w:r>
        <w:rPr>
          <w:rFonts w:hint="eastAsia"/>
          <w:color w:val="000000"/>
          <w:sz w:val="24"/>
        </w:rPr>
        <w:lastRenderedPageBreak/>
        <w:t>或其合金制成，使成品满足本文件的所有性能要求，不应对健康有害及任何有害的感官影响。</w:t>
      </w:r>
    </w:p>
    <w:p w14:paraId="24E99D5E"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起草小组讨论后认为用“纯度”表示比“细度”更合理。</w:t>
      </w:r>
    </w:p>
    <w:p w14:paraId="3146E2E3"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4.2)物品中的贵金属应按照prEN 1904：1995进行焊接</w:t>
      </w:r>
    </w:p>
    <w:p w14:paraId="077AD9BD"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4.3)餐桌和装饰空心的非金属部件可能由以下材料制成：玻璃、陶瓷、木材、木塑料层压板、浸渍木材或类似材料，成品空心材料应符合第6条的相关性能要求。桌上的空心非金属部件应能承受在60℃的水溶液中进行的洗涤。</w:t>
      </w:r>
    </w:p>
    <w:p w14:paraId="0EFFCEC7"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5）通用性要求及应避免缺陷</w:t>
      </w:r>
    </w:p>
    <w:p w14:paraId="06AC54BB" w14:textId="77777777" w:rsidR="00977F5E"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8442-8</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p>
    <w:p w14:paraId="1C3B3266" w14:textId="77777777" w:rsidR="00977F5E" w:rsidRDefault="00000000">
      <w:pPr>
        <w:spacing w:line="360" w:lineRule="auto"/>
        <w:ind w:firstLineChars="200" w:firstLine="480"/>
        <w:jc w:val="left"/>
        <w:rPr>
          <w:color w:val="000000"/>
          <w:sz w:val="24"/>
        </w:rPr>
      </w:pPr>
      <w:r>
        <w:rPr>
          <w:rFonts w:hint="eastAsia"/>
          <w:color w:val="000000"/>
          <w:sz w:val="24"/>
        </w:rPr>
        <w:t>5.1)</w:t>
      </w:r>
      <w:r>
        <w:rPr>
          <w:rFonts w:hint="eastAsia"/>
          <w:color w:val="000000"/>
          <w:sz w:val="24"/>
        </w:rPr>
        <w:t>所有表面均应无裂缝和其他缺陷。</w:t>
      </w:r>
    </w:p>
    <w:p w14:paraId="260929D4" w14:textId="77777777" w:rsidR="00977F5E" w:rsidRDefault="00000000">
      <w:pPr>
        <w:spacing w:line="360" w:lineRule="auto"/>
        <w:ind w:firstLineChars="200" w:firstLine="480"/>
        <w:jc w:val="left"/>
        <w:rPr>
          <w:color w:val="000000"/>
          <w:sz w:val="24"/>
        </w:rPr>
      </w:pPr>
      <w:r>
        <w:rPr>
          <w:rFonts w:hint="eastAsia"/>
          <w:color w:val="000000"/>
          <w:sz w:val="24"/>
        </w:rPr>
        <w:t xml:space="preserve">5.2) </w:t>
      </w:r>
      <w:r>
        <w:rPr>
          <w:rFonts w:hint="eastAsia"/>
          <w:color w:val="000000"/>
          <w:sz w:val="24"/>
        </w:rPr>
        <w:t>所有可接触的边缘应光滑无毛刺。</w:t>
      </w:r>
    </w:p>
    <w:p w14:paraId="48967B63" w14:textId="77777777" w:rsidR="00977F5E" w:rsidRDefault="00000000">
      <w:pPr>
        <w:spacing w:line="360" w:lineRule="auto"/>
        <w:ind w:firstLineChars="200" w:firstLine="480"/>
        <w:jc w:val="left"/>
        <w:rPr>
          <w:color w:val="000000"/>
          <w:sz w:val="24"/>
        </w:rPr>
      </w:pPr>
      <w:r>
        <w:rPr>
          <w:rFonts w:hint="eastAsia"/>
          <w:color w:val="000000"/>
          <w:sz w:val="24"/>
        </w:rPr>
        <w:t xml:space="preserve">5.3 ) </w:t>
      </w:r>
      <w:r>
        <w:rPr>
          <w:rFonts w:hint="eastAsia"/>
          <w:color w:val="000000"/>
          <w:sz w:val="24"/>
        </w:rPr>
        <w:t>部件之间不应有大于</w:t>
      </w:r>
      <w:r>
        <w:rPr>
          <w:rFonts w:hint="eastAsia"/>
          <w:color w:val="000000"/>
          <w:sz w:val="24"/>
        </w:rPr>
        <w:t>0.4mm</w:t>
      </w:r>
      <w:r>
        <w:rPr>
          <w:rFonts w:hint="eastAsia"/>
          <w:color w:val="000000"/>
          <w:sz w:val="24"/>
        </w:rPr>
        <w:t>的间隙。除非特殊设计要求，焊接部分应牢固不渗水。</w:t>
      </w:r>
    </w:p>
    <w:p w14:paraId="500868D8" w14:textId="77777777" w:rsidR="00977F5E" w:rsidRDefault="00000000">
      <w:pPr>
        <w:spacing w:line="360" w:lineRule="auto"/>
        <w:ind w:firstLineChars="200" w:firstLine="480"/>
        <w:jc w:val="left"/>
        <w:rPr>
          <w:color w:val="000000"/>
          <w:sz w:val="24"/>
        </w:rPr>
      </w:pPr>
      <w:r>
        <w:rPr>
          <w:rFonts w:hint="eastAsia"/>
          <w:color w:val="000000"/>
          <w:sz w:val="24"/>
        </w:rPr>
        <w:t xml:space="preserve">5.4 ) </w:t>
      </w:r>
      <w:r>
        <w:rPr>
          <w:rFonts w:hint="eastAsia"/>
          <w:color w:val="000000"/>
          <w:sz w:val="24"/>
        </w:rPr>
        <w:t>是否符合</w:t>
      </w:r>
      <w:r>
        <w:rPr>
          <w:rFonts w:hint="eastAsia"/>
          <w:color w:val="000000"/>
          <w:sz w:val="24"/>
        </w:rPr>
        <w:t>5.1</w:t>
      </w:r>
      <w:r>
        <w:rPr>
          <w:rFonts w:hint="eastAsia"/>
          <w:color w:val="000000"/>
          <w:sz w:val="24"/>
        </w:rPr>
        <w:t>至</w:t>
      </w:r>
      <w:r>
        <w:rPr>
          <w:rFonts w:hint="eastAsia"/>
          <w:color w:val="000000"/>
          <w:sz w:val="24"/>
        </w:rPr>
        <w:t>5.3</w:t>
      </w:r>
      <w:r>
        <w:rPr>
          <w:rFonts w:hint="eastAsia"/>
          <w:color w:val="000000"/>
          <w:sz w:val="24"/>
        </w:rPr>
        <w:t>的要求，应通过触摸或肉眼视觉检查，</w:t>
      </w:r>
      <w:r>
        <w:rPr>
          <w:rFonts w:hint="eastAsia"/>
          <w:color w:val="000000"/>
          <w:sz w:val="24"/>
        </w:rPr>
        <w:t>5.3</w:t>
      </w:r>
      <w:r>
        <w:rPr>
          <w:rFonts w:hint="eastAsia"/>
          <w:color w:val="000000"/>
          <w:sz w:val="24"/>
        </w:rPr>
        <w:t>应采用适当厚度的塞尺。</w:t>
      </w:r>
    </w:p>
    <w:p w14:paraId="6DAB052D"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Uniformity and absence of defects</w:t>
      </w:r>
      <w:r>
        <w:rPr>
          <w:rFonts w:ascii="宋体" w:eastAsia="宋体" w:hAnsi="宋体" w:cs="宋体" w:hint="eastAsia"/>
          <w:color w:val="000000"/>
          <w:sz w:val="24"/>
        </w:rPr>
        <w:t>”翻译为“通用性要求及应避免缺陷”。</w:t>
      </w:r>
    </w:p>
    <w:p w14:paraId="54F27FF7"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There shall be no gaps in excess of 0,4 mm between components and seams joining hollowsections together shall be watertight unless required by the design.</w:t>
      </w:r>
      <w:r>
        <w:rPr>
          <w:rFonts w:ascii="宋体" w:eastAsia="宋体" w:hAnsi="宋体" w:cs="宋体" w:hint="eastAsia"/>
          <w:color w:val="000000"/>
          <w:sz w:val="24"/>
        </w:rPr>
        <w:t>”翻译为“组件之间的间隙不应超过0.4mm</w:t>
      </w:r>
      <w:bookmarkStart w:id="5" w:name="_Hlk224226194"/>
      <w:r>
        <w:rPr>
          <w:rFonts w:ascii="宋体" w:eastAsia="宋体" w:hAnsi="宋体" w:cs="宋体" w:hint="eastAsia"/>
          <w:color w:val="000000"/>
          <w:sz w:val="24"/>
        </w:rPr>
        <w:t>；</w:t>
      </w:r>
      <w:bookmarkStart w:id="6" w:name="OLE_LINK1"/>
      <w:r>
        <w:rPr>
          <w:rFonts w:ascii="宋体" w:eastAsia="宋体" w:hAnsi="宋体" w:cs="宋体" w:hint="eastAsia"/>
          <w:color w:val="000000"/>
          <w:sz w:val="24"/>
        </w:rPr>
        <w:t>与空心结构的连接处应密封</w:t>
      </w:r>
      <w:bookmarkEnd w:id="6"/>
      <w:r>
        <w:rPr>
          <w:rFonts w:ascii="宋体" w:eastAsia="宋体" w:hAnsi="宋体" w:cs="宋体" w:hint="eastAsia"/>
          <w:color w:val="000000"/>
          <w:sz w:val="24"/>
        </w:rPr>
        <w:t>不渗水，除非有特殊要求。</w:t>
      </w:r>
      <w:bookmarkEnd w:id="5"/>
      <w:r>
        <w:rPr>
          <w:rFonts w:ascii="宋体" w:eastAsia="宋体" w:hAnsi="宋体" w:cs="宋体" w:hint="eastAsia"/>
          <w:color w:val="000000"/>
          <w:sz w:val="24"/>
        </w:rPr>
        <w:t>”</w:t>
      </w:r>
    </w:p>
    <w:p w14:paraId="762400DE"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6）性能要求</w:t>
      </w:r>
    </w:p>
    <w:p w14:paraId="5E423231" w14:textId="77777777" w:rsidR="00977F5E" w:rsidRDefault="00000000">
      <w:pPr>
        <w:spacing w:line="360" w:lineRule="auto"/>
        <w:ind w:firstLineChars="200" w:firstLine="480"/>
        <w:jc w:val="left"/>
        <w:rPr>
          <w:color w:val="000000"/>
          <w:sz w:val="24"/>
        </w:rPr>
      </w:pPr>
      <w:bookmarkStart w:id="7" w:name="_Hlk225774392"/>
      <w:r>
        <w:rPr>
          <w:rFonts w:hint="eastAsia"/>
          <w:color w:val="000000"/>
          <w:sz w:val="24"/>
        </w:rPr>
        <w:t>等同采用</w:t>
      </w:r>
      <w:bookmarkEnd w:id="7"/>
      <w:r>
        <w:rPr>
          <w:rFonts w:hint="eastAsia"/>
          <w:color w:val="000000"/>
          <w:sz w:val="24"/>
        </w:rPr>
        <w:t>ISO 8442-8</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r>
        <w:rPr>
          <w:rFonts w:hint="eastAsia"/>
          <w:color w:val="000000"/>
          <w:sz w:val="24"/>
        </w:rPr>
        <w:t xml:space="preserve"> 6 </w:t>
      </w:r>
      <w:r>
        <w:rPr>
          <w:rFonts w:hint="eastAsia"/>
          <w:color w:val="000000"/>
          <w:sz w:val="24"/>
        </w:rPr>
        <w:t>性能要求。</w:t>
      </w:r>
    </w:p>
    <w:p w14:paraId="2C8C7138"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6.1.1 </w:t>
      </w:r>
    </w:p>
    <w:p w14:paraId="22E04F02"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6.1.1 Resistance of rectangular and square trays and dishes to twisting</w:t>
      </w:r>
    </w:p>
    <w:p w14:paraId="1243B527"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 xml:space="preserve">The temporary deflection of a rectangular or square tray or flat dish </w:t>
      </w:r>
      <w:r>
        <w:rPr>
          <w:rFonts w:ascii="宋体" w:eastAsia="宋体" w:hAnsi="宋体" w:cs="宋体"/>
          <w:color w:val="000000"/>
          <w:sz w:val="24"/>
        </w:rPr>
        <w:lastRenderedPageBreak/>
        <w:t>exceeding 300 mm at its maximumaxis shall not exceed 3,5 mm in 100 mm deviation from flat in any diagonal across the surface of the</w:t>
      </w:r>
    </w:p>
    <w:p w14:paraId="4A896033"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base when tested in accordance with annex E.</w:t>
      </w:r>
      <w:r>
        <w:rPr>
          <w:rFonts w:ascii="宋体" w:eastAsia="宋体" w:hAnsi="宋体" w:cs="宋体" w:hint="eastAsia"/>
          <w:color w:val="000000"/>
          <w:sz w:val="24"/>
        </w:rPr>
        <w:t>”</w:t>
      </w:r>
    </w:p>
    <w:p w14:paraId="133C65DD" w14:textId="77777777" w:rsidR="00977F5E" w:rsidRDefault="00000000">
      <w:pPr>
        <w:spacing w:line="360" w:lineRule="auto"/>
        <w:jc w:val="left"/>
        <w:rPr>
          <w:rFonts w:ascii="宋体" w:eastAsia="宋体" w:hAnsi="宋体" w:cs="宋体" w:hint="eastAsia"/>
          <w:color w:val="000000"/>
          <w:sz w:val="24"/>
        </w:rPr>
      </w:pPr>
      <w:r>
        <w:rPr>
          <w:rFonts w:ascii="宋体" w:eastAsia="宋体" w:hAnsi="宋体" w:cs="宋体" w:hint="eastAsia"/>
          <w:color w:val="000000"/>
          <w:sz w:val="24"/>
        </w:rPr>
        <w:t>起草组讨论后翻译为“</w:t>
      </w:r>
      <w:bookmarkStart w:id="8" w:name="_Hlk225773668"/>
      <w:r>
        <w:rPr>
          <w:rFonts w:ascii="宋体" w:eastAsia="宋体" w:hAnsi="宋体" w:cs="宋体" w:hint="eastAsia"/>
          <w:color w:val="000000"/>
          <w:sz w:val="24"/>
        </w:rPr>
        <w:t>6.1.1 矩形、正方形碟和盘的抗扭强度</w:t>
      </w:r>
    </w:p>
    <w:p w14:paraId="0F1C80E4"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按附录E试验后，对矩形或正方形或最大轴线超过300</w:t>
      </w:r>
      <w:r>
        <w:rPr>
          <w:rFonts w:ascii="宋体" w:eastAsia="宋体" w:hAnsi="宋体" w:cs="宋体"/>
          <w:color w:val="000000"/>
          <w:sz w:val="24"/>
        </w:rPr>
        <w:t>mm</w:t>
      </w:r>
      <w:r>
        <w:rPr>
          <w:rFonts w:ascii="宋体" w:eastAsia="宋体" w:hAnsi="宋体" w:cs="宋体" w:hint="eastAsia"/>
          <w:color w:val="000000"/>
          <w:sz w:val="24"/>
        </w:rPr>
        <w:t>的平盘，基体表面对角线的每</w:t>
      </w:r>
      <w:r>
        <w:rPr>
          <w:rFonts w:ascii="宋体" w:eastAsia="宋体" w:hAnsi="宋体" w:cs="宋体"/>
          <w:color w:val="000000"/>
          <w:sz w:val="24"/>
        </w:rPr>
        <w:t>100mm</w:t>
      </w:r>
      <w:r>
        <w:rPr>
          <w:rFonts w:ascii="宋体" w:eastAsia="宋体" w:hAnsi="宋体" w:cs="宋体" w:hint="eastAsia"/>
          <w:color w:val="000000"/>
          <w:sz w:val="24"/>
        </w:rPr>
        <w:t>的变形量不应超过</w:t>
      </w:r>
      <w:r>
        <w:rPr>
          <w:rFonts w:ascii="宋体" w:eastAsia="宋体" w:hAnsi="宋体" w:cs="宋体"/>
          <w:color w:val="000000"/>
          <w:sz w:val="24"/>
        </w:rPr>
        <w:t>3.5mm</w:t>
      </w:r>
      <w:r>
        <w:rPr>
          <w:rFonts w:ascii="宋体" w:eastAsia="宋体" w:hAnsi="宋体" w:cs="宋体" w:hint="eastAsia"/>
          <w:color w:val="000000"/>
          <w:sz w:val="24"/>
        </w:rPr>
        <w:t>。</w:t>
      </w:r>
      <w:bookmarkEnd w:id="8"/>
      <w:r>
        <w:rPr>
          <w:rFonts w:ascii="宋体" w:eastAsia="宋体" w:hAnsi="宋体" w:cs="宋体" w:hint="eastAsia"/>
          <w:color w:val="000000"/>
          <w:sz w:val="24"/>
        </w:rPr>
        <w:t>”</w:t>
      </w:r>
    </w:p>
    <w:p w14:paraId="538967BE"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6.3 稳定性</w:t>
      </w:r>
    </w:p>
    <w:p w14:paraId="595DD7B6"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将表3中第二列的标题“</w:t>
      </w:r>
      <w:r>
        <w:rPr>
          <w:rFonts w:ascii="宋体" w:eastAsia="宋体" w:hAnsi="宋体" w:cs="宋体"/>
          <w:color w:val="000000"/>
          <w:sz w:val="24"/>
        </w:rPr>
        <w:t>Maximum permitted clearance betweenany foot and a plane surface</w:t>
      </w:r>
      <w:r>
        <w:rPr>
          <w:rFonts w:ascii="宋体" w:eastAsia="宋体" w:hAnsi="宋体" w:cs="宋体" w:hint="eastAsia"/>
          <w:color w:val="000000"/>
          <w:sz w:val="24"/>
        </w:rPr>
        <w:t>”翻译为“支脚与平面之间的最大允许间隙”</w:t>
      </w:r>
    </w:p>
    <w:p w14:paraId="00294C58"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6.4 倒水</w:t>
      </w:r>
    </w:p>
    <w:p w14:paraId="4B627CAC"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将原文中的“Pouring”翻译为“倒水”。</w:t>
      </w:r>
    </w:p>
    <w:p w14:paraId="1C55AEE0"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6.5 手柄温升</w:t>
      </w:r>
    </w:p>
    <w:p w14:paraId="1E2287D1"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 for insulated metal handles: 50 °C.</w:t>
      </w:r>
      <w:r>
        <w:rPr>
          <w:rFonts w:ascii="宋体" w:eastAsia="宋体" w:hAnsi="宋体" w:cs="宋体" w:hint="eastAsia"/>
          <w:color w:val="000000"/>
          <w:sz w:val="24"/>
        </w:rPr>
        <w:t>”讨论组认为翻译为“金属材料制成的手柄：50℃”更合适。</w:t>
      </w:r>
    </w:p>
    <w:p w14:paraId="2DC1187F"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附录部分A-F</w:t>
      </w:r>
      <w:r>
        <w:rPr>
          <w:rFonts w:hint="eastAsia"/>
          <w:color w:val="000000"/>
          <w:sz w:val="24"/>
        </w:rPr>
        <w:t>等同采用</w:t>
      </w:r>
      <w:r>
        <w:rPr>
          <w:rFonts w:hint="eastAsia"/>
          <w:color w:val="000000"/>
          <w:sz w:val="24"/>
        </w:rPr>
        <w:t>ISO 8442-8</w:t>
      </w:r>
      <w:r>
        <w:rPr>
          <w:rFonts w:hint="eastAsia"/>
          <w:color w:val="000000"/>
          <w:sz w:val="24"/>
        </w:rPr>
        <w:t>：</w:t>
      </w:r>
      <w:r>
        <w:rPr>
          <w:rFonts w:hint="eastAsia"/>
          <w:color w:val="000000"/>
          <w:sz w:val="24"/>
        </w:rPr>
        <w:t>1997</w:t>
      </w:r>
      <w:r>
        <w:rPr>
          <w:rFonts w:hint="eastAsia"/>
          <w:color w:val="000000"/>
          <w:sz w:val="24"/>
        </w:rPr>
        <w:t>《接触食物的制品及材料</w:t>
      </w:r>
      <w:r>
        <w:rPr>
          <w:rFonts w:hint="eastAsia"/>
          <w:color w:val="000000"/>
          <w:sz w:val="24"/>
        </w:rPr>
        <w:t>-</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部分：银制餐用和装饰用器皿技术要求》的附录部分。</w:t>
      </w:r>
    </w:p>
    <w:p w14:paraId="63D5831F" w14:textId="77777777" w:rsidR="00977F5E"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三、主要试验（或验证）情况</w:t>
      </w:r>
    </w:p>
    <w:p w14:paraId="111424F1"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4CD9DB83" w14:textId="77777777" w:rsidR="00977F5E" w:rsidRDefault="00000000">
      <w:pPr>
        <w:spacing w:before="100" w:beforeAutospacing="1"/>
        <w:ind w:firstLineChars="200" w:firstLine="480"/>
        <w:jc w:val="left"/>
        <w:rPr>
          <w:rFonts w:ascii="黑体" w:eastAsia="黑体" w:hAnsi="宋体" w:hint="eastAsia"/>
          <w:kern w:val="0"/>
          <w:sz w:val="24"/>
        </w:rPr>
      </w:pPr>
      <w:r>
        <w:rPr>
          <w:rFonts w:ascii="黑体" w:eastAsia="黑体" w:hAnsi="宋体" w:hint="eastAsia"/>
          <w:kern w:val="0"/>
          <w:sz w:val="24"/>
        </w:rPr>
        <w:t>四、标准中涉及专利的情况</w:t>
      </w:r>
    </w:p>
    <w:p w14:paraId="5CC6FFA3" w14:textId="77777777" w:rsidR="00977F5E" w:rsidRDefault="00000000">
      <w:pPr>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本标准不涉及专利问题。</w:t>
      </w:r>
    </w:p>
    <w:p w14:paraId="594A0241" w14:textId="77777777" w:rsidR="00977F5E"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五、预期达到的社会效益、对产业发展的作用等情况</w:t>
      </w:r>
    </w:p>
    <w:p w14:paraId="074562FD"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目前我国尚无《</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r>
        <w:rPr>
          <w:rFonts w:ascii="宋体" w:eastAsia="宋体" w:hAnsi="宋体" w:cs="宋体"/>
          <w:color w:val="000000"/>
          <w:sz w:val="24"/>
        </w:rPr>
        <w:t>》国家标准，根据市场需求和行业呼声，制定该标准不仅能填补我国标准的空白，更能够为市场监管提供依据，更好地规范行业健康发展，促进产品质量提升、技术进步，加快产品产业结构转型升级，更好的完善我国餐具的标准体系。同时标准与国际接轨，防止贸易壁垒，为我国镀金餐具产品进入国际市场提供了有力的技术支撑。</w:t>
      </w:r>
    </w:p>
    <w:p w14:paraId="0BF3428E"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本标准的制定，顺应国家标准化深化改革要求，规范镀金餐具市场秩序以及</w:t>
      </w:r>
      <w:r>
        <w:rPr>
          <w:rFonts w:ascii="宋体" w:eastAsia="宋体" w:hAnsi="宋体" w:cs="宋体" w:hint="eastAsia"/>
          <w:color w:val="000000"/>
          <w:sz w:val="24"/>
        </w:rPr>
        <w:lastRenderedPageBreak/>
        <w:t>行业的健康发展、引领消费升级、促进产业升级，产生良好的社会效益和经济效益、增强国际竞争力等方面起到了积极的推动作用。</w:t>
      </w:r>
    </w:p>
    <w:p w14:paraId="0E4CEF5F" w14:textId="77777777" w:rsidR="00977F5E" w:rsidRDefault="00000000">
      <w:pPr>
        <w:spacing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六、与国际、国外对比情况</w:t>
      </w:r>
    </w:p>
    <w:p w14:paraId="3887C250" w14:textId="77777777" w:rsidR="00977F5E" w:rsidRDefault="00000000">
      <w:pPr>
        <w:spacing w:before="100" w:beforeAutospacing="1"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国外有国际标准ISO8442-4：1997《</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8</w:t>
      </w:r>
      <w:r>
        <w:rPr>
          <w:rFonts w:hint="eastAsia"/>
          <w:color w:val="000000"/>
          <w:sz w:val="24"/>
        </w:rPr>
        <w:t>部分：银制餐用和装饰用器皿技术要求</w:t>
      </w:r>
      <w:r>
        <w:rPr>
          <w:rFonts w:ascii="宋体" w:eastAsia="宋体" w:hAnsi="宋体" w:cs="宋体" w:hint="eastAsia"/>
          <w:color w:val="000000"/>
          <w:sz w:val="24"/>
        </w:rPr>
        <w:t>》。</w:t>
      </w:r>
    </w:p>
    <w:p w14:paraId="4B3656BF"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国内相关国家标准有：GB/T 15067.2-2016《不锈钢餐具》。</w:t>
      </w:r>
    </w:p>
    <w:p w14:paraId="7EAAB580"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国内地方相关准有：山东省市场监督管理局发布DB37/T 4377-2021 《专用分餐餐具》。</w:t>
      </w:r>
    </w:p>
    <w:p w14:paraId="7601E0B7" w14:textId="77777777" w:rsidR="00977F5E"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七、在标准体系中的位置，与现行相关法律、法规、规章及相关标准，特别是强制性标准的协调性</w:t>
      </w:r>
    </w:p>
    <w:p w14:paraId="4116B801"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本标准属于金属餐饮及烹饪器具标准体系“02产品标准”大类下的“03器皿”中类产品之一。</w:t>
      </w:r>
    </w:p>
    <w:p w14:paraId="1F9DCB04"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本标准与现行相关法律、法规、规章及相关标准协调一致。</w:t>
      </w:r>
    </w:p>
    <w:p w14:paraId="03822B54"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本标准在体系表中的位置如下图所示：</w:t>
      </w:r>
    </w:p>
    <w:p w14:paraId="33C4E4F2" w14:textId="77777777" w:rsidR="00977F5E" w:rsidRDefault="00000000">
      <w:pPr>
        <w:spacing w:line="360" w:lineRule="auto"/>
        <w:ind w:firstLineChars="200" w:firstLine="480"/>
        <w:jc w:val="left"/>
        <w:rPr>
          <w:rFonts w:ascii="宋体" w:eastAsia="宋体" w:hAnsi="宋体" w:cs="宋体" w:hint="eastAsia"/>
          <w:color w:val="000000"/>
          <w:sz w:val="24"/>
        </w:rPr>
      </w:pPr>
      <w:r>
        <w:rPr>
          <w:rFonts w:eastAsia="宋体" w:hint="eastAsia"/>
          <w:noProof/>
          <w:sz w:val="24"/>
        </w:rPr>
        <w:drawing>
          <wp:inline distT="0" distB="0" distL="0" distR="0" wp14:anchorId="4636E54F" wp14:editId="4307DDF1">
            <wp:extent cx="5274310" cy="3560445"/>
            <wp:effectExtent l="0" t="0" r="0" b="0"/>
            <wp:docPr id="896095413" name="图片 1" descr="172923678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95413" name="图片 1" descr="17292367898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3560445"/>
                    </a:xfrm>
                    <a:prstGeom prst="rect">
                      <a:avLst/>
                    </a:prstGeom>
                    <a:noFill/>
                    <a:ln>
                      <a:noFill/>
                    </a:ln>
                  </pic:spPr>
                </pic:pic>
              </a:graphicData>
            </a:graphic>
          </wp:inline>
        </w:drawing>
      </w:r>
    </w:p>
    <w:p w14:paraId="238FF0EE" w14:textId="77777777" w:rsidR="00977F5E"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八、重大分歧意见的处理经过和依据</w:t>
      </w:r>
    </w:p>
    <w:p w14:paraId="641AAC35"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6E4D4D9C" w14:textId="77777777" w:rsidR="00977F5E"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lastRenderedPageBreak/>
        <w:t>九、标准性质的建议说明</w:t>
      </w:r>
    </w:p>
    <w:p w14:paraId="26A74A24"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建议本标准的性质为推荐性行业标准。</w:t>
      </w:r>
    </w:p>
    <w:p w14:paraId="7AD41347" w14:textId="77777777" w:rsidR="00977F5E"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十、贯彻标准的要求和措施建议</w:t>
      </w:r>
    </w:p>
    <w:p w14:paraId="34F48095"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建议本标准批准发布12个月后实施。</w:t>
      </w:r>
    </w:p>
    <w:p w14:paraId="22F59C49" w14:textId="77777777" w:rsidR="00977F5E"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十一、废止现行相关标准的建议</w:t>
      </w:r>
    </w:p>
    <w:p w14:paraId="43797349" w14:textId="77777777" w:rsidR="00977F5E"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无</w:t>
      </w:r>
    </w:p>
    <w:p w14:paraId="25489E66" w14:textId="77777777" w:rsidR="00977F5E"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十二、其他应予说明的事项</w:t>
      </w:r>
    </w:p>
    <w:p w14:paraId="6DF17197" w14:textId="77777777" w:rsidR="00977F5E"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629F9315" w14:textId="77777777" w:rsidR="00977F5E" w:rsidRDefault="00977F5E">
      <w:pPr>
        <w:spacing w:line="360" w:lineRule="auto"/>
        <w:ind w:firstLineChars="200" w:firstLine="480"/>
        <w:jc w:val="left"/>
        <w:rPr>
          <w:rFonts w:ascii="宋体" w:eastAsia="宋体" w:hAnsi="宋体" w:cs="宋体" w:hint="eastAsia"/>
          <w:color w:val="000000"/>
          <w:sz w:val="24"/>
        </w:rPr>
      </w:pPr>
    </w:p>
    <w:p w14:paraId="1EDA75C1" w14:textId="77777777" w:rsidR="00977F5E" w:rsidRDefault="00977F5E">
      <w:pPr>
        <w:shd w:val="clear" w:color="auto" w:fill="FFFFFF"/>
        <w:spacing w:line="360" w:lineRule="auto"/>
        <w:jc w:val="left"/>
        <w:textAlignment w:val="top"/>
        <w:rPr>
          <w:rFonts w:ascii="华文新魏" w:eastAsia="华文新魏" w:hAnsi="宋体" w:hint="eastAsia"/>
          <w:kern w:val="0"/>
          <w:szCs w:val="21"/>
        </w:rPr>
      </w:pPr>
    </w:p>
    <w:p w14:paraId="3DE440E2" w14:textId="77777777" w:rsidR="00977F5E"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标准起草小组</w:t>
      </w:r>
    </w:p>
    <w:p w14:paraId="7899FAC9" w14:textId="77777777" w:rsidR="00977F5E"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2026年4月</w:t>
      </w:r>
    </w:p>
    <w:sectPr w:rsidR="00977F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358DC" w14:textId="77777777" w:rsidR="007E4D4C" w:rsidRDefault="007E4D4C" w:rsidP="0075576B">
      <w:r>
        <w:separator/>
      </w:r>
    </w:p>
  </w:endnote>
  <w:endnote w:type="continuationSeparator" w:id="0">
    <w:p w14:paraId="1DB0F472" w14:textId="77777777" w:rsidR="007E4D4C" w:rsidRDefault="007E4D4C" w:rsidP="00755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2A9AA" w14:textId="77777777" w:rsidR="007E4D4C" w:rsidRDefault="007E4D4C" w:rsidP="0075576B">
      <w:r>
        <w:separator/>
      </w:r>
    </w:p>
  </w:footnote>
  <w:footnote w:type="continuationSeparator" w:id="0">
    <w:p w14:paraId="6203D986" w14:textId="77777777" w:rsidR="007E4D4C" w:rsidRDefault="007E4D4C" w:rsidP="007557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75717A7"/>
    <w:multiLevelType w:val="singleLevel"/>
    <w:tmpl w:val="A75717A7"/>
    <w:lvl w:ilvl="0">
      <w:start w:val="1"/>
      <w:numFmt w:val="decimal"/>
      <w:suff w:val="nothing"/>
      <w:lvlText w:val="（%1）"/>
      <w:lvlJc w:val="left"/>
      <w:rPr>
        <w:rFonts w:ascii="黑体" w:eastAsia="黑体" w:hAnsi="黑体" w:cs="黑体" w:hint="default"/>
        <w:b w:val="0"/>
        <w:bCs w:val="0"/>
      </w:rPr>
    </w:lvl>
  </w:abstractNum>
  <w:abstractNum w:abstractNumId="1" w15:restartNumberingAfterBreak="0">
    <w:nsid w:val="10BE6C87"/>
    <w:multiLevelType w:val="multilevel"/>
    <w:tmpl w:val="10BE6C87"/>
    <w:lvl w:ilvl="0">
      <w:start w:val="1"/>
      <w:numFmt w:val="decimal"/>
      <w:lvlText w:val="%1、"/>
      <w:lvlJc w:val="left"/>
      <w:pPr>
        <w:ind w:left="840" w:hanging="360"/>
      </w:pPr>
      <w:rPr>
        <w:rFonts w:ascii="Calibri" w:eastAsia="宋体" w:hAnsi="Calibri" w:cs="Times New Roman"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1"/>
      <w:suff w:val="nothing"/>
      <w:lvlText w:val="%1.%2.%3　"/>
      <w:lvlJc w:val="left"/>
      <w:pPr>
        <w:ind w:left="945" w:firstLine="0"/>
      </w:pPr>
      <w:rPr>
        <w:rFonts w:ascii="黑体" w:eastAsia="黑体" w:hAnsi="Times New Roman" w:hint="eastAsia"/>
        <w:b w:val="0"/>
        <w:i w:val="0"/>
        <w:sz w:val="21"/>
      </w:rPr>
    </w:lvl>
    <w:lvl w:ilvl="3">
      <w:start w:val="1"/>
      <w:numFmt w:val="decimal"/>
      <w:suff w:val="nothing"/>
      <w:lvlText w:val="%1.%2.%3.%4　"/>
      <w:lvlJc w:val="left"/>
      <w:pPr>
        <w:ind w:left="94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557C2AF5"/>
    <w:multiLevelType w:val="multilevel"/>
    <w:tmpl w:val="557C2AF5"/>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646260FA"/>
    <w:multiLevelType w:val="multilevel"/>
    <w:tmpl w:val="646260FA"/>
    <w:lvl w:ilvl="0">
      <w:start w:val="1"/>
      <w:numFmt w:val="decimal"/>
      <w:pStyle w:val="a3"/>
      <w:suff w:val="nothing"/>
      <w:lvlText w:val="表%1　"/>
      <w:lvlJc w:val="left"/>
      <w:pPr>
        <w:ind w:left="367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16cid:durableId="2012021253">
    <w:abstractNumId w:val="2"/>
  </w:num>
  <w:num w:numId="2" w16cid:durableId="1284926957">
    <w:abstractNumId w:val="4"/>
  </w:num>
  <w:num w:numId="3" w16cid:durableId="297804457">
    <w:abstractNumId w:val="3"/>
  </w:num>
  <w:num w:numId="4" w16cid:durableId="360324807">
    <w:abstractNumId w:val="0"/>
  </w:num>
  <w:num w:numId="5" w16cid:durableId="17692768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llMTc3MjIxZGExZDRhZWY3MWIyMTQyOWQxNDRmYjEifQ=="/>
  </w:docVars>
  <w:rsids>
    <w:rsidRoot w:val="0C246093"/>
    <w:rsid w:val="000426B0"/>
    <w:rsid w:val="00066270"/>
    <w:rsid w:val="001373D2"/>
    <w:rsid w:val="001B0E20"/>
    <w:rsid w:val="001B2AC0"/>
    <w:rsid w:val="00223E5B"/>
    <w:rsid w:val="00236B4A"/>
    <w:rsid w:val="002E03E9"/>
    <w:rsid w:val="003A1177"/>
    <w:rsid w:val="003B43F9"/>
    <w:rsid w:val="003D35F7"/>
    <w:rsid w:val="003D5C41"/>
    <w:rsid w:val="003F7044"/>
    <w:rsid w:val="004D4C3E"/>
    <w:rsid w:val="00593ACF"/>
    <w:rsid w:val="005A5369"/>
    <w:rsid w:val="0061195E"/>
    <w:rsid w:val="00661835"/>
    <w:rsid w:val="006C6907"/>
    <w:rsid w:val="0075576B"/>
    <w:rsid w:val="00755F8B"/>
    <w:rsid w:val="007A3E2A"/>
    <w:rsid w:val="007C1930"/>
    <w:rsid w:val="007E4D4C"/>
    <w:rsid w:val="00807D55"/>
    <w:rsid w:val="00942D05"/>
    <w:rsid w:val="009452A5"/>
    <w:rsid w:val="00951AD3"/>
    <w:rsid w:val="0097103F"/>
    <w:rsid w:val="00977F5E"/>
    <w:rsid w:val="009E3365"/>
    <w:rsid w:val="00A4417A"/>
    <w:rsid w:val="00A66855"/>
    <w:rsid w:val="00AF5469"/>
    <w:rsid w:val="00B07CF6"/>
    <w:rsid w:val="00B907E2"/>
    <w:rsid w:val="00BE5546"/>
    <w:rsid w:val="00C2519C"/>
    <w:rsid w:val="00C32B01"/>
    <w:rsid w:val="00C5006A"/>
    <w:rsid w:val="00C97CF6"/>
    <w:rsid w:val="00CB3EB1"/>
    <w:rsid w:val="00D0773F"/>
    <w:rsid w:val="00DE4908"/>
    <w:rsid w:val="00E31D41"/>
    <w:rsid w:val="00E41162"/>
    <w:rsid w:val="00EF2882"/>
    <w:rsid w:val="00FF547C"/>
    <w:rsid w:val="01C02B82"/>
    <w:rsid w:val="02567741"/>
    <w:rsid w:val="0259273A"/>
    <w:rsid w:val="03A013D6"/>
    <w:rsid w:val="03AE3AF3"/>
    <w:rsid w:val="03DB41BC"/>
    <w:rsid w:val="045B2CFC"/>
    <w:rsid w:val="048B19E8"/>
    <w:rsid w:val="050E236F"/>
    <w:rsid w:val="059960DD"/>
    <w:rsid w:val="05E76E48"/>
    <w:rsid w:val="06067CD4"/>
    <w:rsid w:val="070740F9"/>
    <w:rsid w:val="07B508DF"/>
    <w:rsid w:val="07C22BBE"/>
    <w:rsid w:val="095347F5"/>
    <w:rsid w:val="099B1B36"/>
    <w:rsid w:val="0A577F4C"/>
    <w:rsid w:val="0A8D2664"/>
    <w:rsid w:val="0ADD0F6B"/>
    <w:rsid w:val="0B1B1342"/>
    <w:rsid w:val="0BE3070D"/>
    <w:rsid w:val="0BE70187"/>
    <w:rsid w:val="0BFD7267"/>
    <w:rsid w:val="0C246093"/>
    <w:rsid w:val="0C2C7C08"/>
    <w:rsid w:val="0DA33F9D"/>
    <w:rsid w:val="0E4B63E2"/>
    <w:rsid w:val="0EDA1C1B"/>
    <w:rsid w:val="0F1E48BB"/>
    <w:rsid w:val="10173CA8"/>
    <w:rsid w:val="107E5786"/>
    <w:rsid w:val="108A0770"/>
    <w:rsid w:val="11091757"/>
    <w:rsid w:val="113E3FDC"/>
    <w:rsid w:val="11FE39FE"/>
    <w:rsid w:val="12FB3F33"/>
    <w:rsid w:val="13272F7A"/>
    <w:rsid w:val="13F007FE"/>
    <w:rsid w:val="162437A1"/>
    <w:rsid w:val="16BA2357"/>
    <w:rsid w:val="16D276A1"/>
    <w:rsid w:val="170610F8"/>
    <w:rsid w:val="17083D07"/>
    <w:rsid w:val="18320F27"/>
    <w:rsid w:val="19B03586"/>
    <w:rsid w:val="19D84FCE"/>
    <w:rsid w:val="1A726FE1"/>
    <w:rsid w:val="1DDB508D"/>
    <w:rsid w:val="1ED308DE"/>
    <w:rsid w:val="1EF81C6E"/>
    <w:rsid w:val="1F8864BD"/>
    <w:rsid w:val="1FBE69C7"/>
    <w:rsid w:val="1FC41B50"/>
    <w:rsid w:val="1FFC12EA"/>
    <w:rsid w:val="203352EF"/>
    <w:rsid w:val="21026F8C"/>
    <w:rsid w:val="211214DA"/>
    <w:rsid w:val="219043E0"/>
    <w:rsid w:val="22194E4C"/>
    <w:rsid w:val="23644DFC"/>
    <w:rsid w:val="24704055"/>
    <w:rsid w:val="24BC193D"/>
    <w:rsid w:val="25063F87"/>
    <w:rsid w:val="25155CB3"/>
    <w:rsid w:val="25E47C3B"/>
    <w:rsid w:val="276C4B18"/>
    <w:rsid w:val="28011B94"/>
    <w:rsid w:val="297C6104"/>
    <w:rsid w:val="298505A2"/>
    <w:rsid w:val="2BBD6AEF"/>
    <w:rsid w:val="2BFD08C4"/>
    <w:rsid w:val="2C8763E0"/>
    <w:rsid w:val="2CA60F5C"/>
    <w:rsid w:val="2E4F7B2D"/>
    <w:rsid w:val="2F034443"/>
    <w:rsid w:val="2F0F103A"/>
    <w:rsid w:val="2FB92D54"/>
    <w:rsid w:val="30533327"/>
    <w:rsid w:val="30B17ECF"/>
    <w:rsid w:val="30CE0A81"/>
    <w:rsid w:val="30EA3C75"/>
    <w:rsid w:val="31CF2D03"/>
    <w:rsid w:val="32024E86"/>
    <w:rsid w:val="335100C4"/>
    <w:rsid w:val="35105BF8"/>
    <w:rsid w:val="35396A06"/>
    <w:rsid w:val="356A2279"/>
    <w:rsid w:val="360B1E2F"/>
    <w:rsid w:val="3643781B"/>
    <w:rsid w:val="36DE25AD"/>
    <w:rsid w:val="374A734B"/>
    <w:rsid w:val="381A19B9"/>
    <w:rsid w:val="387E4F17"/>
    <w:rsid w:val="38C74B6F"/>
    <w:rsid w:val="39160DB7"/>
    <w:rsid w:val="39B8407C"/>
    <w:rsid w:val="3BD333B1"/>
    <w:rsid w:val="3CD81DA3"/>
    <w:rsid w:val="3CD93518"/>
    <w:rsid w:val="3CDE760E"/>
    <w:rsid w:val="3DDC228A"/>
    <w:rsid w:val="3DF5589F"/>
    <w:rsid w:val="3E2919ED"/>
    <w:rsid w:val="3EB32CDE"/>
    <w:rsid w:val="3EC314F9"/>
    <w:rsid w:val="40A35A86"/>
    <w:rsid w:val="40AF61D9"/>
    <w:rsid w:val="40FC0CF2"/>
    <w:rsid w:val="413401E0"/>
    <w:rsid w:val="41344930"/>
    <w:rsid w:val="41D83760"/>
    <w:rsid w:val="41DD6CB1"/>
    <w:rsid w:val="42BF7BD9"/>
    <w:rsid w:val="43FB1735"/>
    <w:rsid w:val="44C4378F"/>
    <w:rsid w:val="450C6CA9"/>
    <w:rsid w:val="451457B8"/>
    <w:rsid w:val="460751D5"/>
    <w:rsid w:val="47DE55F6"/>
    <w:rsid w:val="485633DE"/>
    <w:rsid w:val="485F7EBB"/>
    <w:rsid w:val="48C22822"/>
    <w:rsid w:val="497C50C6"/>
    <w:rsid w:val="499D3162"/>
    <w:rsid w:val="4A6F234A"/>
    <w:rsid w:val="4BD24070"/>
    <w:rsid w:val="4C79769B"/>
    <w:rsid w:val="4D124791"/>
    <w:rsid w:val="4D673998"/>
    <w:rsid w:val="4DAB41CC"/>
    <w:rsid w:val="4DEB6377"/>
    <w:rsid w:val="4E36549E"/>
    <w:rsid w:val="4F8C553D"/>
    <w:rsid w:val="5226795D"/>
    <w:rsid w:val="52630BD1"/>
    <w:rsid w:val="52BF30EB"/>
    <w:rsid w:val="532F60A0"/>
    <w:rsid w:val="534E1882"/>
    <w:rsid w:val="53830D6B"/>
    <w:rsid w:val="538C23AA"/>
    <w:rsid w:val="538E1C7E"/>
    <w:rsid w:val="53AB6CD4"/>
    <w:rsid w:val="53AD7D9F"/>
    <w:rsid w:val="53C658BC"/>
    <w:rsid w:val="53C77AB5"/>
    <w:rsid w:val="53CE651E"/>
    <w:rsid w:val="540569E3"/>
    <w:rsid w:val="545033D7"/>
    <w:rsid w:val="55445697"/>
    <w:rsid w:val="571921A6"/>
    <w:rsid w:val="575B386D"/>
    <w:rsid w:val="585C67EF"/>
    <w:rsid w:val="58CD3249"/>
    <w:rsid w:val="58D843EF"/>
    <w:rsid w:val="597F070F"/>
    <w:rsid w:val="59814033"/>
    <w:rsid w:val="598F49A2"/>
    <w:rsid w:val="5AC42EE1"/>
    <w:rsid w:val="5B8322E4"/>
    <w:rsid w:val="5BBD00A9"/>
    <w:rsid w:val="5BC20A51"/>
    <w:rsid w:val="5BD0205B"/>
    <w:rsid w:val="5C451348"/>
    <w:rsid w:val="5C491F27"/>
    <w:rsid w:val="5CA55044"/>
    <w:rsid w:val="5DFE20F6"/>
    <w:rsid w:val="5E781E15"/>
    <w:rsid w:val="5ECD717A"/>
    <w:rsid w:val="5F1A6ABC"/>
    <w:rsid w:val="5F2D09F2"/>
    <w:rsid w:val="608A094C"/>
    <w:rsid w:val="60B8658C"/>
    <w:rsid w:val="61001CE1"/>
    <w:rsid w:val="61493688"/>
    <w:rsid w:val="622933B5"/>
    <w:rsid w:val="62526E48"/>
    <w:rsid w:val="63E01790"/>
    <w:rsid w:val="642C206B"/>
    <w:rsid w:val="660202AA"/>
    <w:rsid w:val="66137403"/>
    <w:rsid w:val="67765354"/>
    <w:rsid w:val="68C14AFC"/>
    <w:rsid w:val="68EE2FED"/>
    <w:rsid w:val="6A246A40"/>
    <w:rsid w:val="6A4D6F39"/>
    <w:rsid w:val="6AE61F48"/>
    <w:rsid w:val="6B0F76F1"/>
    <w:rsid w:val="6B705C95"/>
    <w:rsid w:val="6B71773A"/>
    <w:rsid w:val="6BB838E4"/>
    <w:rsid w:val="6BFF7765"/>
    <w:rsid w:val="6C382C77"/>
    <w:rsid w:val="6CF22C23"/>
    <w:rsid w:val="6D7D37A2"/>
    <w:rsid w:val="6E0F17B6"/>
    <w:rsid w:val="6E8D6BAB"/>
    <w:rsid w:val="6FA04DBB"/>
    <w:rsid w:val="702F7EED"/>
    <w:rsid w:val="709B37D5"/>
    <w:rsid w:val="70C90342"/>
    <w:rsid w:val="70E1568B"/>
    <w:rsid w:val="712B2DAA"/>
    <w:rsid w:val="71FB1588"/>
    <w:rsid w:val="720561EB"/>
    <w:rsid w:val="7214383E"/>
    <w:rsid w:val="73B42E67"/>
    <w:rsid w:val="783C764B"/>
    <w:rsid w:val="789F7F95"/>
    <w:rsid w:val="78AD22F7"/>
    <w:rsid w:val="78F77206"/>
    <w:rsid w:val="79350FEC"/>
    <w:rsid w:val="794B3FEA"/>
    <w:rsid w:val="7AC14D8B"/>
    <w:rsid w:val="7B152B01"/>
    <w:rsid w:val="7B1E74DC"/>
    <w:rsid w:val="7B997274"/>
    <w:rsid w:val="7B9B1E24"/>
    <w:rsid w:val="7CFE1373"/>
    <w:rsid w:val="7D211626"/>
    <w:rsid w:val="7D2A1F4D"/>
    <w:rsid w:val="7D535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006ED1"/>
  <w15:docId w15:val="{E75D8C36-5B24-4BB6-9028-7A0FC54AB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rFonts w:asciiTheme="minorHAnsi" w:eastAsiaTheme="minorEastAsia" w:hAnsiTheme="minorHAnsi" w:cstheme="minorBidi"/>
      <w:kern w:val="2"/>
      <w:sz w:val="21"/>
      <w:szCs w:val="2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annotation text"/>
    <w:basedOn w:val="a4"/>
    <w:uiPriority w:val="99"/>
    <w:semiHidden/>
    <w:unhideWhenUsed/>
    <w:qFormat/>
    <w:pPr>
      <w:jc w:val="left"/>
    </w:pPr>
  </w:style>
  <w:style w:type="paragraph" w:styleId="a9">
    <w:name w:val="footer"/>
    <w:basedOn w:val="a4"/>
    <w:link w:val="aa"/>
    <w:qFormat/>
    <w:pPr>
      <w:tabs>
        <w:tab w:val="center" w:pos="4153"/>
        <w:tab w:val="right" w:pos="8306"/>
      </w:tabs>
      <w:snapToGrid w:val="0"/>
      <w:jc w:val="left"/>
    </w:pPr>
    <w:rPr>
      <w:sz w:val="18"/>
      <w:szCs w:val="18"/>
    </w:rPr>
  </w:style>
  <w:style w:type="paragraph" w:styleId="ab">
    <w:name w:val="header"/>
    <w:basedOn w:val="a4"/>
    <w:link w:val="ac"/>
    <w:qFormat/>
    <w:pPr>
      <w:tabs>
        <w:tab w:val="center" w:pos="4153"/>
        <w:tab w:val="right" w:pos="8306"/>
      </w:tabs>
      <w:snapToGrid w:val="0"/>
      <w:jc w:val="center"/>
    </w:pPr>
    <w:rPr>
      <w:sz w:val="18"/>
      <w:szCs w:val="18"/>
    </w:rPr>
  </w:style>
  <w:style w:type="table" w:styleId="ad">
    <w:name w:val="Table Grid"/>
    <w:basedOn w:val="a6"/>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e">
    <w:name w:val="段"/>
    <w:qFormat/>
    <w:pPr>
      <w:autoSpaceDE w:val="0"/>
      <w:autoSpaceDN w:val="0"/>
      <w:ind w:firstLineChars="200" w:firstLine="200"/>
      <w:jc w:val="both"/>
    </w:pPr>
    <w:rPr>
      <w:rFonts w:ascii="宋体" w:hAnsi="Times New Roman"/>
      <w:sz w:val="21"/>
    </w:rPr>
  </w:style>
  <w:style w:type="paragraph" w:customStyle="1" w:styleId="af">
    <w:name w:val="一级无"/>
    <w:basedOn w:val="a0"/>
    <w:qFormat/>
    <w:pPr>
      <w:spacing w:beforeLines="0" w:afterLines="0"/>
    </w:pPr>
    <w:rPr>
      <w:rFonts w:ascii="宋体" w:eastAsia="宋体"/>
    </w:rPr>
  </w:style>
  <w:style w:type="paragraph" w:customStyle="1" w:styleId="a0">
    <w:name w:val="一级条标题"/>
    <w:basedOn w:val="a"/>
    <w:next w:val="ae"/>
    <w:qFormat/>
    <w:pPr>
      <w:numPr>
        <w:ilvl w:val="1"/>
      </w:numPr>
      <w:spacing w:beforeLines="50" w:afterLines="50"/>
      <w:outlineLvl w:val="2"/>
    </w:pPr>
    <w:rPr>
      <w:szCs w:val="21"/>
    </w:rPr>
  </w:style>
  <w:style w:type="paragraph" w:customStyle="1" w:styleId="a">
    <w:name w:val="章标题"/>
    <w:next w:val="ae"/>
    <w:qFormat/>
    <w:pPr>
      <w:numPr>
        <w:numId w:val="1"/>
      </w:numPr>
      <w:spacing w:beforeLines="100" w:afterLines="100"/>
      <w:jc w:val="both"/>
      <w:outlineLvl w:val="1"/>
    </w:pPr>
    <w:rPr>
      <w:rFonts w:ascii="黑体" w:eastAsia="黑体" w:hAnsi="Times New Roman"/>
      <w:sz w:val="21"/>
    </w:rPr>
  </w:style>
  <w:style w:type="paragraph" w:customStyle="1" w:styleId="af0">
    <w:name w:val="标准文件_段"/>
    <w:link w:val="Char"/>
    <w:qFormat/>
    <w:pPr>
      <w:autoSpaceDE w:val="0"/>
      <w:autoSpaceDN w:val="0"/>
      <w:ind w:firstLineChars="200" w:firstLine="200"/>
      <w:jc w:val="both"/>
    </w:pPr>
    <w:rPr>
      <w:rFonts w:ascii="宋体" w:hAnsi="Times New Roman"/>
      <w:sz w:val="21"/>
    </w:rPr>
  </w:style>
  <w:style w:type="paragraph" w:customStyle="1" w:styleId="af1">
    <w:name w:val="二级无"/>
    <w:basedOn w:val="a1"/>
    <w:qFormat/>
    <w:pPr>
      <w:spacing w:beforeLines="0" w:afterLines="0"/>
    </w:pPr>
    <w:rPr>
      <w:rFonts w:ascii="宋体" w:eastAsia="宋体"/>
    </w:rPr>
  </w:style>
  <w:style w:type="paragraph" w:customStyle="1" w:styleId="a1">
    <w:name w:val="二级条标题"/>
    <w:basedOn w:val="a0"/>
    <w:next w:val="ae"/>
    <w:qFormat/>
    <w:pPr>
      <w:numPr>
        <w:ilvl w:val="2"/>
      </w:numPr>
      <w:spacing w:before="50" w:after="50"/>
      <w:outlineLvl w:val="3"/>
    </w:pPr>
  </w:style>
  <w:style w:type="paragraph" w:customStyle="1" w:styleId="a3">
    <w:name w:val="正文表标题"/>
    <w:next w:val="ae"/>
    <w:qFormat/>
    <w:pPr>
      <w:numPr>
        <w:numId w:val="2"/>
      </w:numPr>
      <w:tabs>
        <w:tab w:val="left" w:pos="360"/>
      </w:tabs>
      <w:spacing w:beforeLines="50" w:afterLines="50"/>
      <w:jc w:val="center"/>
    </w:pPr>
    <w:rPr>
      <w:rFonts w:ascii="黑体" w:eastAsia="黑体" w:hAnsi="Times New Roman"/>
      <w:sz w:val="21"/>
    </w:rPr>
  </w:style>
  <w:style w:type="paragraph" w:customStyle="1" w:styleId="1">
    <w:name w:val="列出段落1"/>
    <w:basedOn w:val="a4"/>
    <w:uiPriority w:val="34"/>
    <w:unhideWhenUsed/>
    <w:qFormat/>
    <w:pPr>
      <w:ind w:firstLineChars="200" w:firstLine="420"/>
    </w:pPr>
  </w:style>
  <w:style w:type="paragraph" w:customStyle="1" w:styleId="af2">
    <w:name w:val="标准文件_示例内容"/>
    <w:basedOn w:val="af0"/>
    <w:qFormat/>
    <w:pPr>
      <w:ind w:firstLine="420"/>
    </w:pPr>
    <w:rPr>
      <w:sz w:val="18"/>
    </w:rPr>
  </w:style>
  <w:style w:type="paragraph" w:customStyle="1" w:styleId="a2">
    <w:name w:val="标准文件_正文图标题"/>
    <w:next w:val="af0"/>
    <w:qFormat/>
    <w:pPr>
      <w:numPr>
        <w:numId w:val="3"/>
      </w:numPr>
      <w:spacing w:beforeLines="50" w:afterLines="50"/>
      <w:jc w:val="center"/>
    </w:pPr>
    <w:rPr>
      <w:rFonts w:ascii="黑体" w:eastAsia="黑体" w:hAnsi="Times New Roman"/>
      <w:sz w:val="21"/>
    </w:rPr>
  </w:style>
  <w:style w:type="character" w:customStyle="1" w:styleId="ac">
    <w:name w:val="页眉 字符"/>
    <w:basedOn w:val="a5"/>
    <w:link w:val="ab"/>
    <w:qFormat/>
    <w:rPr>
      <w:kern w:val="2"/>
      <w:sz w:val="18"/>
      <w:szCs w:val="18"/>
    </w:rPr>
  </w:style>
  <w:style w:type="character" w:customStyle="1" w:styleId="aa">
    <w:name w:val="页脚 字符"/>
    <w:basedOn w:val="a5"/>
    <w:link w:val="a9"/>
    <w:qFormat/>
    <w:rPr>
      <w:kern w:val="2"/>
      <w:sz w:val="18"/>
      <w:szCs w:val="18"/>
    </w:rPr>
  </w:style>
  <w:style w:type="paragraph" w:styleId="af3">
    <w:name w:val="List Paragraph"/>
    <w:basedOn w:val="a4"/>
    <w:uiPriority w:val="99"/>
    <w:unhideWhenUsed/>
    <w:qFormat/>
    <w:pPr>
      <w:ind w:firstLineChars="200" w:firstLine="420"/>
    </w:pPr>
  </w:style>
  <w:style w:type="character" w:customStyle="1" w:styleId="Char">
    <w:name w:val="标准文件_段 Char"/>
    <w:link w:val="af0"/>
    <w:qFormat/>
    <w:rsid w:val="00C32B01"/>
    <w:rPr>
      <w:rFonts w:ascii="宋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887</Words>
  <Characters>5061</Characters>
  <Application>Microsoft Office Word</Application>
  <DocSecurity>0</DocSecurity>
  <Lines>42</Lines>
  <Paragraphs>11</Paragraphs>
  <ScaleCrop>false</ScaleCrop>
  <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岩 杨</cp:lastModifiedBy>
  <cp:revision>26</cp:revision>
  <dcterms:created xsi:type="dcterms:W3CDTF">2024-10-28T04:26:00Z</dcterms:created>
  <dcterms:modified xsi:type="dcterms:W3CDTF">2026-05-08T03:28:00Z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EC6D6B054CAC4505A77264C0A36D6BAB_13</vt:lpwstr>
  </property>
  <property fmtid="{D5CDD505-2E9C-101B-9397-08002B2CF9AE}" pid="4" name="KSOTemplateDocerSaveRecord">
    <vt:lpwstr>eyJoZGlkIjoiNDk3N2VjZWM4NmIyODJjZjBlMjg5YmZmZDA1OGY5MWUiLCJ1c2VySWQiOiIzNTcwMzY3MDAifQ==</vt:lpwstr>
  </property>
</Properties>
</file>