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2B4614AC">
      <w:pPr>
        <w:rPr>
          <w:rFonts w:hint="eastAsia" w:eastAsia="宋体"/>
          <w:b/>
          <w:bCs w:val="0"/>
          <w:color w:val="FF0000"/>
          <w:szCs w:val="21"/>
          <w:lang w:val="en-US" w:eastAsia="zh-CN"/>
        </w:rPr>
      </w:pPr>
      <w:r>
        <w:rPr>
          <w:rFonts w:hint="eastAsia" w:ascii="Times New Roman" w:hAnsi="Times New Roman" w:cs="Times New Roman"/>
          <w:b/>
          <w:bCs w:val="0"/>
          <w:color w:val="FF0000"/>
          <w:sz w:val="21"/>
          <w:szCs w:val="21"/>
          <w:lang w:val="en-US" w:eastAsia="zh-CN"/>
        </w:rPr>
        <w:t>注：本篇论文模板为拼凑文章，内容不具备连贯性，</w:t>
      </w:r>
      <w:r>
        <w:rPr>
          <w:rFonts w:hint="eastAsia"/>
          <w:b/>
          <w:bCs w:val="0"/>
          <w:color w:val="FF0000"/>
          <w:szCs w:val="21"/>
          <w:lang w:eastAsia="zh-CN"/>
        </w:rPr>
        <w:t>右侧批注</w:t>
      </w:r>
      <w:r>
        <w:rPr>
          <w:b/>
          <w:bCs w:val="0"/>
          <w:color w:val="FF0000"/>
          <w:szCs w:val="21"/>
        </w:rPr>
        <w:t>为说明性文字</w:t>
      </w:r>
      <w:r>
        <w:rPr>
          <w:rFonts w:hint="eastAsia"/>
          <w:b/>
          <w:bCs w:val="0"/>
          <w:color w:val="FF0000"/>
          <w:szCs w:val="21"/>
          <w:lang w:eastAsia="zh-CN"/>
        </w:rPr>
        <w:t>，</w:t>
      </w:r>
      <w:r>
        <w:rPr>
          <w:b/>
          <w:bCs w:val="0"/>
          <w:color w:val="FF0000"/>
          <w:szCs w:val="21"/>
        </w:rPr>
        <w:t>仅供修改体例格式时参考</w:t>
      </w:r>
      <w:r>
        <w:rPr>
          <w:rFonts w:hint="eastAsia"/>
          <w:b/>
          <w:bCs w:val="0"/>
          <w:color w:val="FF0000"/>
          <w:szCs w:val="21"/>
          <w:lang w:eastAsia="zh-CN"/>
        </w:rPr>
        <w:t>，论文</w:t>
      </w:r>
      <w:r>
        <w:rPr>
          <w:b/>
          <w:bCs w:val="0"/>
          <w:color w:val="FF0000"/>
          <w:szCs w:val="21"/>
        </w:rPr>
        <w:t>请采用单栏排版</w:t>
      </w:r>
      <w:r>
        <w:rPr>
          <w:rFonts w:hint="eastAsia"/>
          <w:b/>
          <w:bCs w:val="0"/>
          <w:color w:val="FF0000"/>
          <w:szCs w:val="21"/>
          <w:lang w:eastAsia="zh-CN"/>
        </w:rPr>
        <w:t>。</w:t>
      </w:r>
    </w:p>
    <w:p w14:paraId="5642E26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b/>
          <w:bCs w:val="0"/>
          <w:color w:val="FF0000"/>
          <w:sz w:val="21"/>
          <w:szCs w:val="21"/>
          <w:lang w:val="en-US" w:eastAsia="zh-CN"/>
        </w:rPr>
      </w:pPr>
    </w:p>
    <w:p w14:paraId="06BD48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8"/>
          <w:szCs w:val="28"/>
        </w:rPr>
      </w:pPr>
      <w:commentRangeStart w:id="0"/>
      <w:r>
        <w:rPr>
          <w:rFonts w:hint="default" w:ascii="Times New Roman" w:hAnsi="Times New Roman" w:eastAsia="宋体" w:cs="Times New Roman"/>
          <w:bCs/>
          <w:sz w:val="28"/>
          <w:szCs w:val="28"/>
        </w:rPr>
        <w:t>不同加热方式对无涂层铁锅重金属迁移量的影响</w:t>
      </w:r>
      <w:commentRangeEnd w:id="0"/>
      <w:r>
        <w:rPr>
          <w:rFonts w:hint="default" w:ascii="Times New Roman" w:hAnsi="Times New Roman" w:eastAsia="宋体" w:cs="Times New Roman"/>
        </w:rPr>
        <w:commentReference w:id="0"/>
      </w:r>
    </w:p>
    <w:p w14:paraId="078E357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val="0"/>
          <w:iCs w:val="0"/>
          <w:caps w:val="0"/>
          <w:color w:val="333333"/>
          <w:spacing w:val="0"/>
          <w:sz w:val="28"/>
          <w:szCs w:val="28"/>
          <w:shd w:val="clear" w:fill="FFFFFF"/>
        </w:rPr>
      </w:pPr>
      <w:commentRangeStart w:id="1"/>
      <w:r>
        <w:rPr>
          <w:rFonts w:hint="default" w:ascii="Times New Roman" w:hAnsi="Times New Roman" w:eastAsia="宋体" w:cs="Times New Roman"/>
          <w:i w:val="0"/>
          <w:iCs w:val="0"/>
          <w:caps w:val="0"/>
          <w:color w:val="333333"/>
          <w:spacing w:val="0"/>
          <w:sz w:val="28"/>
          <w:szCs w:val="28"/>
          <w:shd w:val="clear" w:fill="FFFFFF"/>
        </w:rPr>
        <w:t>Effect of different heating methods on heavy metal migration in uncoated iron pot</w:t>
      </w:r>
      <w:commentRangeEnd w:id="1"/>
      <w:r>
        <w:rPr>
          <w:rFonts w:hint="default" w:ascii="Times New Roman" w:hAnsi="Times New Roman" w:eastAsia="宋体" w:cs="Times New Roman"/>
        </w:rPr>
        <w:commentReference w:id="1"/>
      </w:r>
    </w:p>
    <w:p w14:paraId="04462CD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333333"/>
          <w:sz w:val="24"/>
          <w:szCs w:val="24"/>
          <w:vertAlign w:val="superscript"/>
          <w:lang w:val="en-US" w:eastAsia="zh-CN"/>
        </w:rPr>
      </w:pPr>
      <w:commentRangeStart w:id="2"/>
      <w:r>
        <w:rPr>
          <w:rFonts w:hint="default" w:ascii="Times New Roman" w:hAnsi="Times New Roman" w:eastAsia="宋体" w:cs="Times New Roman"/>
          <w:color w:val="333333"/>
          <w:sz w:val="24"/>
          <w:szCs w:val="24"/>
        </w:rPr>
        <w:t>薛</w:t>
      </w:r>
      <w:r>
        <w:rPr>
          <w:rFonts w:hint="default" w:ascii="Times New Roman" w:hAnsi="Times New Roman" w:eastAsia="宋体" w:cs="Times New Roman"/>
          <w:color w:val="333333"/>
          <w:sz w:val="24"/>
          <w:szCs w:val="24"/>
          <w:lang w:val="en-US" w:eastAsia="zh-CN"/>
        </w:rPr>
        <w:t>XX</w:t>
      </w:r>
      <w:r>
        <w:rPr>
          <w:rFonts w:hint="default" w:ascii="Times New Roman" w:hAnsi="Times New Roman" w:eastAsia="宋体" w:cs="Times New Roman"/>
          <w:color w:val="333333"/>
          <w:sz w:val="24"/>
          <w:szCs w:val="24"/>
          <w:vertAlign w:val="superscript"/>
          <w:lang w:val="en-US" w:eastAsia="zh-CN"/>
        </w:rPr>
        <w:t>1</w:t>
      </w:r>
      <w:r>
        <w:rPr>
          <w:rFonts w:hint="default" w:ascii="Times New Roman" w:hAnsi="Times New Roman" w:eastAsia="宋体" w:cs="Times New Roman"/>
          <w:color w:val="333333"/>
          <w:sz w:val="24"/>
          <w:szCs w:val="24"/>
        </w:rPr>
        <w:t xml:space="preserve">  杨</w:t>
      </w:r>
      <w:r>
        <w:rPr>
          <w:rFonts w:hint="default" w:ascii="Times New Roman" w:hAnsi="Times New Roman" w:eastAsia="宋体" w:cs="Times New Roman"/>
          <w:color w:val="333333"/>
          <w:sz w:val="24"/>
          <w:szCs w:val="24"/>
          <w:lang w:val="en-US" w:eastAsia="zh-CN"/>
        </w:rPr>
        <w:t>XX</w:t>
      </w:r>
      <w:r>
        <w:rPr>
          <w:rFonts w:hint="default" w:ascii="Times New Roman" w:hAnsi="Times New Roman" w:eastAsia="宋体" w:cs="Times New Roman"/>
          <w:color w:val="333333"/>
          <w:sz w:val="24"/>
          <w:szCs w:val="24"/>
          <w:vertAlign w:val="superscript"/>
          <w:lang w:val="en-US" w:eastAsia="zh-CN"/>
        </w:rPr>
        <w:t>2</w:t>
      </w:r>
      <w:commentRangeEnd w:id="2"/>
      <w:r>
        <w:rPr>
          <w:rFonts w:hint="default" w:ascii="Times New Roman" w:hAnsi="Times New Roman" w:eastAsia="宋体" w:cs="Times New Roman"/>
        </w:rPr>
        <w:commentReference w:id="2"/>
      </w:r>
      <w:r>
        <w:rPr>
          <w:rFonts w:hint="default" w:ascii="Times New Roman" w:hAnsi="Times New Roman" w:eastAsia="宋体" w:cs="Times New Roman"/>
          <w:color w:val="333333"/>
          <w:sz w:val="24"/>
          <w:szCs w:val="24"/>
          <w:vertAlign w:val="superscript"/>
          <w:lang w:val="en-US" w:eastAsia="zh-CN"/>
        </w:rPr>
        <w:t xml:space="preserve">  </w:t>
      </w:r>
    </w:p>
    <w:p w14:paraId="02A42D3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333333"/>
          <w:sz w:val="24"/>
          <w:szCs w:val="24"/>
          <w:lang w:val="en-US" w:eastAsia="zh-CN"/>
        </w:rPr>
      </w:pPr>
      <w:commentRangeStart w:id="3"/>
      <w:r>
        <w:rPr>
          <w:rFonts w:hint="default" w:ascii="Times New Roman" w:hAnsi="Times New Roman" w:eastAsia="宋体" w:cs="Times New Roman"/>
          <w:color w:val="333333"/>
          <w:sz w:val="24"/>
          <w:szCs w:val="24"/>
          <w:lang w:val="en-US" w:eastAsia="zh-CN"/>
        </w:rPr>
        <w:t>XUE xx</w:t>
      </w:r>
      <w:r>
        <w:rPr>
          <w:rFonts w:hint="default" w:ascii="Times New Roman" w:hAnsi="Times New Roman" w:eastAsia="宋体" w:cs="Times New Roman"/>
          <w:color w:val="333333"/>
          <w:sz w:val="24"/>
          <w:szCs w:val="24"/>
          <w:vertAlign w:val="superscript"/>
          <w:lang w:val="en-US" w:eastAsia="zh-CN"/>
        </w:rPr>
        <w:t>1</w:t>
      </w:r>
      <w:r>
        <w:rPr>
          <w:rFonts w:hint="default" w:ascii="Times New Roman" w:hAnsi="Times New Roman" w:eastAsia="宋体" w:cs="Times New Roman"/>
          <w:color w:val="333333"/>
          <w:sz w:val="24"/>
          <w:szCs w:val="24"/>
          <w:lang w:val="en-US" w:eastAsia="zh-CN"/>
        </w:rPr>
        <w:t xml:space="preserve">  YANG xx</w:t>
      </w:r>
      <w:r>
        <w:rPr>
          <w:rFonts w:hint="default" w:ascii="Times New Roman" w:hAnsi="Times New Roman" w:eastAsia="宋体" w:cs="Times New Roman"/>
          <w:color w:val="333333"/>
          <w:sz w:val="24"/>
          <w:szCs w:val="24"/>
          <w:vertAlign w:val="superscript"/>
          <w:lang w:val="en-US" w:eastAsia="zh-CN"/>
        </w:rPr>
        <w:t>2</w:t>
      </w:r>
      <w:commentRangeEnd w:id="3"/>
      <w:r>
        <w:rPr>
          <w:rFonts w:hint="default" w:ascii="Times New Roman" w:hAnsi="Times New Roman" w:eastAsia="宋体" w:cs="Times New Roman"/>
        </w:rPr>
        <w:commentReference w:id="3"/>
      </w:r>
    </w:p>
    <w:p w14:paraId="38D9939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333333"/>
          <w:sz w:val="24"/>
          <w:szCs w:val="24"/>
          <w:lang w:val="en-US" w:eastAsia="zh-CN"/>
        </w:rPr>
      </w:pPr>
      <w:commentRangeStart w:id="4"/>
      <w:r>
        <w:rPr>
          <w:rFonts w:hint="default" w:ascii="Times New Roman" w:hAnsi="Times New Roman" w:eastAsia="宋体" w:cs="Times New Roman"/>
          <w:color w:val="333333"/>
          <w:sz w:val="24"/>
          <w:szCs w:val="24"/>
          <w:lang w:val="en-US" w:eastAsia="zh-CN"/>
        </w:rPr>
        <w:t>1.</w:t>
      </w:r>
      <w:r>
        <w:rPr>
          <w:rFonts w:hint="default" w:ascii="Times New Roman" w:hAnsi="Times New Roman" w:eastAsia="宋体" w:cs="Times New Roman"/>
          <w:color w:val="333333"/>
          <w:sz w:val="24"/>
          <w:szCs w:val="24"/>
          <w:lang w:eastAsia="zh-CN"/>
        </w:rPr>
        <w:t>中国日用五金技术开发中心</w:t>
      </w:r>
      <w:r>
        <w:rPr>
          <w:rFonts w:hint="default" w:ascii="Times New Roman" w:hAnsi="Times New Roman" w:eastAsia="宋体" w:cs="Times New Roman"/>
          <w:color w:val="333333"/>
          <w:sz w:val="24"/>
          <w:szCs w:val="24"/>
          <w:lang w:val="en-US" w:eastAsia="zh-CN"/>
        </w:rPr>
        <w:t xml:space="preserve">  辽宁沈阳 110032</w:t>
      </w:r>
    </w:p>
    <w:p w14:paraId="24CA82A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333333"/>
          <w:sz w:val="24"/>
          <w:szCs w:val="24"/>
          <w:lang w:val="en-US" w:eastAsia="zh-CN"/>
        </w:rPr>
      </w:pPr>
      <w:r>
        <w:rPr>
          <w:rFonts w:hint="default" w:ascii="Times New Roman" w:hAnsi="Times New Roman" w:eastAsia="宋体" w:cs="Times New Roman"/>
          <w:color w:val="333333"/>
          <w:sz w:val="24"/>
          <w:szCs w:val="24"/>
          <w:lang w:val="en-US" w:eastAsia="zh-CN"/>
        </w:rPr>
        <w:t>2.</w:t>
      </w:r>
      <w:r>
        <w:rPr>
          <w:rFonts w:hint="default" w:ascii="Times New Roman" w:hAnsi="Times New Roman" w:eastAsia="宋体" w:cs="Times New Roman"/>
          <w:color w:val="333333"/>
          <w:sz w:val="24"/>
          <w:szCs w:val="24"/>
        </w:rPr>
        <w:t>国家日用金属制品质量监督检验中心（沈阳）</w:t>
      </w:r>
      <w:r>
        <w:rPr>
          <w:rFonts w:hint="default" w:ascii="Times New Roman" w:hAnsi="Times New Roman" w:eastAsia="宋体" w:cs="Times New Roman"/>
          <w:color w:val="333333"/>
          <w:sz w:val="24"/>
          <w:szCs w:val="24"/>
          <w:lang w:val="en-US" w:eastAsia="zh-CN"/>
        </w:rPr>
        <w:t xml:space="preserve"> 辽宁沈阳 110032</w:t>
      </w:r>
    </w:p>
    <w:p w14:paraId="37E9D06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color w:val="333333"/>
          <w:sz w:val="24"/>
          <w:szCs w:val="24"/>
          <w:lang w:val="en-US" w:eastAsia="zh-CN"/>
        </w:rPr>
        <w:t>1.</w:t>
      </w:r>
      <w:r>
        <w:rPr>
          <w:rFonts w:hint="default" w:ascii="Times New Roman" w:hAnsi="Times New Roman" w:eastAsia="宋体" w:cs="Times New Roman"/>
          <w:b w:val="0"/>
          <w:bCs w:val="0"/>
          <w:sz w:val="24"/>
          <w:szCs w:val="24"/>
          <w:lang w:val="en-US" w:eastAsia="zh-CN"/>
        </w:rPr>
        <w:t>China Daily Hardware Technology Development Center Shenyang 110032</w:t>
      </w:r>
    </w:p>
    <w:p w14:paraId="33DB001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val="0"/>
          <w:bCs w:val="0"/>
          <w:sz w:val="24"/>
          <w:szCs w:val="24"/>
          <w:lang w:val="en-US" w:eastAsia="zh-CN"/>
        </w:rPr>
        <w:t>2.National Quality Supervision and Inspection Center for daily use metal products Shenyang 110032</w:t>
      </w:r>
      <w:commentRangeEnd w:id="4"/>
      <w:r>
        <w:rPr>
          <w:rFonts w:hint="default" w:ascii="Times New Roman" w:hAnsi="Times New Roman" w:eastAsia="宋体" w:cs="Times New Roman"/>
        </w:rPr>
        <w:commentReference w:id="4"/>
      </w:r>
    </w:p>
    <w:p w14:paraId="65F708A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color w:val="333333"/>
          <w:sz w:val="24"/>
          <w:szCs w:val="24"/>
        </w:rPr>
      </w:pPr>
    </w:p>
    <w:p w14:paraId="1CAB691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333333"/>
          <w:sz w:val="24"/>
          <w:szCs w:val="24"/>
        </w:rPr>
      </w:pPr>
      <w:commentRangeStart w:id="5"/>
      <w:r>
        <w:rPr>
          <w:rFonts w:hint="default" w:ascii="Times New Roman" w:hAnsi="Times New Roman" w:eastAsia="宋体" w:cs="Times New Roman"/>
          <w:b/>
          <w:bCs/>
          <w:color w:val="333333"/>
          <w:sz w:val="24"/>
          <w:szCs w:val="24"/>
        </w:rPr>
        <w:t>摘</w:t>
      </w:r>
      <w:r>
        <w:rPr>
          <w:rFonts w:hint="default" w:ascii="Times New Roman" w:hAnsi="Times New Roman" w:eastAsia="宋体" w:cs="Times New Roman"/>
          <w:b/>
          <w:bCs/>
          <w:color w:val="333333"/>
          <w:sz w:val="24"/>
          <w:szCs w:val="24"/>
          <w:lang w:val="en-US" w:eastAsia="zh-CN"/>
        </w:rPr>
        <w:t xml:space="preserve"> </w:t>
      </w:r>
      <w:r>
        <w:rPr>
          <w:rFonts w:hint="default" w:ascii="Times New Roman" w:hAnsi="Times New Roman" w:eastAsia="宋体" w:cs="Times New Roman"/>
          <w:b/>
          <w:bCs/>
          <w:color w:val="333333"/>
          <w:sz w:val="24"/>
          <w:szCs w:val="24"/>
        </w:rPr>
        <w:t>要：</w:t>
      </w:r>
      <w:r>
        <w:rPr>
          <w:rFonts w:hint="default" w:ascii="Times New Roman" w:hAnsi="Times New Roman" w:eastAsia="宋体" w:cs="Times New Roman"/>
          <w:color w:val="333333"/>
          <w:sz w:val="24"/>
          <w:szCs w:val="24"/>
        </w:rPr>
        <w:t>国标GB 4806.9-2016中明确规定了无涂层铁锅的重金属迁移试验条件，但对于加热方式并没有明确指出，为……，通过……方法研究了xxx。结果表明：……；……；……。可见……。</w:t>
      </w:r>
      <w:commentRangeEnd w:id="5"/>
      <w:r>
        <w:rPr>
          <w:rFonts w:hint="default" w:ascii="Times New Roman" w:hAnsi="Times New Roman" w:eastAsia="宋体" w:cs="Times New Roman"/>
          <w:color w:val="333333"/>
          <w:sz w:val="24"/>
          <w:szCs w:val="24"/>
        </w:rPr>
        <w:commentReference w:id="5"/>
      </w:r>
    </w:p>
    <w:p w14:paraId="3DDFEE1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333333"/>
          <w:sz w:val="24"/>
          <w:szCs w:val="24"/>
        </w:rPr>
      </w:pPr>
      <w:commentRangeStart w:id="6"/>
      <w:r>
        <w:rPr>
          <w:rFonts w:hint="default" w:ascii="Times New Roman" w:hAnsi="Times New Roman" w:eastAsia="宋体" w:cs="Times New Roman"/>
          <w:b/>
          <w:bCs/>
          <w:color w:val="333333"/>
          <w:sz w:val="24"/>
          <w:szCs w:val="24"/>
        </w:rPr>
        <w:t>关键词：</w:t>
      </w:r>
      <w:r>
        <w:rPr>
          <w:rFonts w:hint="default" w:ascii="Times New Roman" w:hAnsi="Times New Roman" w:eastAsia="宋体" w:cs="Times New Roman"/>
          <w:color w:val="333333"/>
          <w:sz w:val="24"/>
          <w:szCs w:val="24"/>
        </w:rPr>
        <w:t>加热方式</w:t>
      </w:r>
      <w:r>
        <w:rPr>
          <w:rFonts w:hint="default" w:ascii="Times New Roman" w:hAnsi="Times New Roman" w:eastAsia="宋体" w:cs="Times New Roman"/>
          <w:color w:val="333333"/>
          <w:sz w:val="24"/>
          <w:szCs w:val="24"/>
          <w:lang w:eastAsia="zh-CN"/>
        </w:rPr>
        <w:t>；</w:t>
      </w:r>
      <w:r>
        <w:rPr>
          <w:rFonts w:hint="default" w:ascii="Times New Roman" w:hAnsi="Times New Roman" w:eastAsia="宋体" w:cs="Times New Roman"/>
          <w:color w:val="333333"/>
          <w:sz w:val="24"/>
          <w:szCs w:val="24"/>
        </w:rPr>
        <w:t>无涂层铁锅</w:t>
      </w:r>
      <w:r>
        <w:rPr>
          <w:rFonts w:hint="default" w:ascii="Times New Roman" w:hAnsi="Times New Roman" w:eastAsia="宋体" w:cs="Times New Roman"/>
          <w:color w:val="333333"/>
          <w:sz w:val="24"/>
          <w:szCs w:val="24"/>
          <w:lang w:eastAsia="zh-CN"/>
        </w:rPr>
        <w:t>；</w:t>
      </w:r>
      <w:r>
        <w:rPr>
          <w:rFonts w:hint="default" w:ascii="Times New Roman" w:hAnsi="Times New Roman" w:eastAsia="宋体" w:cs="Times New Roman"/>
          <w:color w:val="333333"/>
          <w:sz w:val="24"/>
          <w:szCs w:val="24"/>
        </w:rPr>
        <w:t>重金属迁移量</w:t>
      </w:r>
      <w:commentRangeEnd w:id="6"/>
      <w:r>
        <w:rPr>
          <w:rFonts w:hint="default" w:ascii="Times New Roman" w:hAnsi="Times New Roman" w:eastAsia="宋体" w:cs="Times New Roman"/>
        </w:rPr>
        <w:commentReference w:id="6"/>
      </w:r>
    </w:p>
    <w:p w14:paraId="4EA2F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lang w:val="en-US" w:eastAsia="zh-CN"/>
        </w:rPr>
        <w:t xml:space="preserve">Abstract: </w:t>
      </w:r>
      <w:r>
        <w:rPr>
          <w:rFonts w:hint="default" w:ascii="Times New Roman" w:hAnsi="Times New Roman" w:eastAsia="宋体" w:cs="Times New Roman"/>
          <w:b w:val="0"/>
          <w:bCs w:val="0"/>
          <w:sz w:val="24"/>
          <w:szCs w:val="24"/>
          <w:lang w:val="en-US" w:eastAsia="zh-CN"/>
        </w:rPr>
        <w:t>The national standard GB 4806.9-2016 clearly specifies the heavy metal migration test conditions of uncoated iron pot</w:t>
      </w:r>
      <w:r>
        <w:rPr>
          <w:rFonts w:hint="default" w:ascii="Arial" w:hAnsi="Arial" w:eastAsia="宋体" w:cs="Arial"/>
          <w:b w:val="0"/>
          <w:bCs w:val="0"/>
          <w:sz w:val="24"/>
          <w:szCs w:val="24"/>
          <w:lang w:val="en-US" w:eastAsia="zh-CN"/>
        </w:rPr>
        <w:t>………</w:t>
      </w:r>
    </w:p>
    <w:p w14:paraId="2C027E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lang w:val="en-US" w:eastAsia="zh-CN"/>
        </w:rPr>
        <w:t>Key words:</w:t>
      </w:r>
      <w:r>
        <w:rPr>
          <w:rFonts w:hint="default" w:ascii="Times New Roman" w:hAnsi="Times New Roman" w:eastAsia="宋体" w:cs="Times New Roman"/>
          <w:b w:val="0"/>
          <w:bCs w:val="0"/>
          <w:sz w:val="24"/>
          <w:szCs w:val="24"/>
          <w:lang w:val="en-US" w:eastAsia="zh-CN"/>
        </w:rPr>
        <w:t xml:space="preserve"> heating mode; Uncoated iron pot; Heavy metal migration</w:t>
      </w:r>
    </w:p>
    <w:p w14:paraId="4CF93D5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sz w:val="22"/>
          <w:szCs w:val="22"/>
          <w:lang w:val="en-US" w:eastAsia="zh-CN"/>
        </w:rPr>
      </w:pPr>
      <w:commentRangeStart w:id="7"/>
      <w:r>
        <w:rPr>
          <w:rFonts w:hint="default" w:ascii="Times New Roman" w:hAnsi="Times New Roman" w:eastAsia="宋体" w:cs="Times New Roman"/>
          <w:b w:val="0"/>
          <w:bCs w:val="0"/>
          <w:sz w:val="24"/>
          <w:szCs w:val="24"/>
          <w:lang w:val="en-US" w:eastAsia="zh-CN"/>
        </w:rPr>
        <w:t>中图分类号：TG178     文献标志码：A</w:t>
      </w:r>
      <w:commentRangeEnd w:id="7"/>
      <w:r>
        <w:rPr>
          <w:rFonts w:hint="default" w:ascii="Times New Roman" w:hAnsi="Times New Roman" w:eastAsia="宋体" w:cs="Times New Roman"/>
          <w:sz w:val="22"/>
          <w:szCs w:val="22"/>
        </w:rPr>
        <w:commentReference w:id="7"/>
      </w:r>
    </w:p>
    <w:p w14:paraId="523F328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333333"/>
          <w:sz w:val="24"/>
          <w:szCs w:val="24"/>
        </w:rPr>
      </w:pPr>
    </w:p>
    <w:p w14:paraId="1B7A06E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333333"/>
          <w:sz w:val="28"/>
          <w:szCs w:val="28"/>
          <w:lang w:val="en-US" w:eastAsia="zh-CN"/>
        </w:rPr>
      </w:pPr>
      <w:commentRangeStart w:id="8"/>
      <w:r>
        <w:rPr>
          <w:rFonts w:hint="default" w:ascii="Times New Roman" w:hAnsi="Times New Roman" w:eastAsia="宋体" w:cs="Times New Roman"/>
          <w:color w:val="333333"/>
          <w:sz w:val="28"/>
          <w:szCs w:val="28"/>
          <w:lang w:val="en-US" w:eastAsia="zh-CN"/>
        </w:rPr>
        <w:t>0引言</w:t>
      </w:r>
    </w:p>
    <w:p w14:paraId="6C5777E7">
      <w:pPr>
        <w:pStyle w:val="12"/>
        <w:rPr>
          <w:rFonts w:hint="default" w:ascii="Times New Roman" w:hAnsi="Times New Roman" w:eastAsia="宋体" w:cs="Times New Roman"/>
          <w:color w:val="333333"/>
          <w:sz w:val="24"/>
          <w:szCs w:val="24"/>
        </w:rPr>
      </w:pPr>
      <w:r>
        <w:rPr>
          <w:rFonts w:hint="default" w:ascii="Times New Roman" w:hAnsi="Times New Roman" w:eastAsia="宋体" w:cs="Times New Roman"/>
          <w:color w:val="333333"/>
          <w:sz w:val="24"/>
          <w:szCs w:val="24"/>
        </w:rPr>
        <w:t>无涂层铁锅作为烹饪食物的传统</w:t>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"https://baike.so.com/doc/1928137-2039885.html" \t "_blank" </w:instrText>
      </w:r>
      <w:r>
        <w:rPr>
          <w:rFonts w:hint="default" w:ascii="Times New Roman" w:hAnsi="Times New Roman" w:eastAsia="宋体" w:cs="Times New Roman"/>
          <w:sz w:val="24"/>
          <w:szCs w:val="24"/>
        </w:rPr>
        <w:fldChar w:fldCharType="separate"/>
      </w:r>
      <w:r>
        <w:rPr>
          <w:rStyle w:val="8"/>
          <w:rFonts w:hint="default" w:ascii="Times New Roman" w:hAnsi="Times New Roman" w:eastAsia="宋体" w:cs="Times New Roman"/>
          <w:color w:val="auto"/>
          <w:sz w:val="24"/>
          <w:szCs w:val="24"/>
          <w:u w:val="none"/>
        </w:rPr>
        <w:t>厨具</w:t>
      </w:r>
      <w:r>
        <w:rPr>
          <w:rStyle w:val="8"/>
          <w:rFonts w:hint="default" w:ascii="Times New Roman" w:hAnsi="Times New Roman" w:eastAsia="宋体" w:cs="Times New Roman"/>
          <w:color w:val="auto"/>
          <w:sz w:val="24"/>
          <w:szCs w:val="24"/>
          <w:u w:val="none"/>
        </w:rPr>
        <w:fldChar w:fldCharType="end"/>
      </w:r>
      <w:r>
        <w:rPr>
          <w:rFonts w:hint="default" w:ascii="Times New Roman" w:hAnsi="Times New Roman" w:eastAsia="宋体" w:cs="Times New Roman"/>
          <w:sz w:val="24"/>
          <w:szCs w:val="24"/>
        </w:rPr>
        <w:t>，</w:t>
      </w:r>
      <w:r>
        <w:rPr>
          <w:rFonts w:hint="default" w:ascii="Times New Roman" w:hAnsi="Times New Roman" w:eastAsia="宋体" w:cs="Times New Roman"/>
          <w:color w:val="333333"/>
          <w:sz w:val="24"/>
          <w:szCs w:val="24"/>
        </w:rPr>
        <w:t>主要分为生铁锅和熟铁锅两大类。生铁锅是选用灰口铁熔化用模型浇铸制成的；</w:t>
      </w:r>
      <w:r>
        <w:rPr>
          <w:rFonts w:hint="default" w:ascii="Arial" w:hAnsi="Arial" w:eastAsia="宋体" w:cs="Arial"/>
          <w:b/>
          <w:bCs/>
        </w:rPr>
        <w:t>……</w:t>
      </w:r>
    </w:p>
    <w:commentRangeEnd w:id="8"/>
    <w:p w14:paraId="29DBC71B">
      <w:pPr>
        <w:pStyle w:val="5"/>
        <w:ind w:right="2524"/>
      </w:pPr>
      <w:r>
        <w:commentReference w:id="8"/>
      </w:r>
    </w:p>
    <w:p w14:paraId="305C600B">
      <w:pPr>
        <w:pStyle w:val="12"/>
        <w:rPr>
          <w:rFonts w:hint="default"/>
        </w:rPr>
      </w:pPr>
      <w:r>
        <w:rPr>
          <w:rFonts w:hint="default" w:ascii="Arial" w:hAnsi="Arial" w:eastAsia="宋体" w:cs="Arial"/>
          <w:b/>
          <w:bCs/>
        </w:rPr>
        <w:t>……</w:t>
      </w:r>
    </w:p>
    <w:p w14:paraId="669408C0">
      <w:pPr>
        <w:pStyle w:val="5"/>
        <w:ind w:right="2524"/>
        <w:rPr>
          <w:rFonts w:hint="default" w:ascii="Times New Roman" w:hAnsi="Times New Roman" w:eastAsia="宋体" w:cs="Times New Roman"/>
          <w:b/>
          <w:bCs/>
        </w:rPr>
      </w:pPr>
      <w:r>
        <w:rPr>
          <w:rFonts w:hint="default" w:ascii="Times New Roman" w:hAnsi="Times New Roman" w:eastAsia="宋体" w:cs="Times New Roman"/>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113030</wp:posOffset>
                </wp:positionV>
                <wp:extent cx="981075" cy="9525"/>
                <wp:effectExtent l="0" t="0" r="0" b="0"/>
                <wp:wrapNone/>
                <wp:docPr id="2" name="直接连接符 2"/>
                <wp:cNvGraphicFramePr/>
                <a:graphic xmlns:a="http://schemas.openxmlformats.org/drawingml/2006/main">
                  <a:graphicData uri="http://schemas.microsoft.com/office/word/2010/wordprocessingShape">
                    <wps:wsp>
                      <wps:cNvCnPr/>
                      <wps:spPr>
                        <a:xfrm flipV="1">
                          <a:off x="1114425" y="9018270"/>
                          <a:ext cx="98107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75pt;margin-top:8.9pt;height:0.75pt;width:77.25pt;z-index:251659264;mso-width-relative:page;mso-height-relative:page;" filled="f" stroked="t" coordsize="21600,21600" o:gfxdata="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OtFXtQAAAAHAQAADwAAAAAAAAABACAAAAAiAAAAZHJzL2Rvd25yZXYueG1sUEsB&#10;AhQAFAAAAAgAh07iQFyHLI35AQAAyQMAAA4AAAAAAAAAAQAgAAAAIwEAAGRycy9lMm9Eb2MueG1s&#10;UEsFBgAAAAAGAAYAWQEAAI4FAAAAAA==&#10;">
                <v:fill on="f" focussize="0,0"/>
                <v:stroke weight="0.5pt" color="#000000 [3213]" miterlimit="8" joinstyle="miter"/>
                <v:imagedata o:title=""/>
                <o:lock v:ext="edit" aspectratio="f"/>
              </v:line>
            </w:pict>
          </mc:Fallback>
        </mc:AlternateContent>
      </w:r>
    </w:p>
    <w:p w14:paraId="29B17664">
      <w:pPr>
        <w:pStyle w:val="5"/>
        <w:ind w:right="2524"/>
        <w:rPr>
          <w:rFonts w:hint="default" w:ascii="Times New Roman" w:hAnsi="Times New Roman" w:eastAsia="宋体" w:cs="Times New Roman"/>
          <w:b/>
          <w:bCs/>
        </w:rPr>
      </w:pPr>
    </w:p>
    <w:p w14:paraId="3C3F2E62">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p>
    <w:p w14:paraId="7E7E9617">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commentRangeStart w:id="9"/>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试验方法</w:t>
      </w:r>
    </w:p>
    <w:p w14:paraId="79DE47F0">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rPr>
        <w:t>迁移试验条件</w:t>
      </w:r>
      <w:commentRangeEnd w:id="9"/>
      <w:r>
        <w:commentReference w:id="9"/>
      </w:r>
    </w:p>
    <w:p w14:paraId="67E4A4AB">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试剂配制</w:t>
      </w:r>
    </w:p>
    <w:p w14:paraId="6A590FDC">
      <w:pPr>
        <w:pStyle w:val="11"/>
        <w:keepNext w:val="0"/>
        <w:keepLines w:val="0"/>
        <w:pageBreakBefore w:val="0"/>
        <w:widowControl w:val="0"/>
        <w:kinsoku/>
        <w:wordWrap/>
        <w:overflowPunct/>
        <w:topLinePunct w:val="0"/>
        <w:autoSpaceDE/>
        <w:autoSpaceDN/>
        <w:bidi w:val="0"/>
        <w:adjustRightInd/>
        <w:snapToGrid/>
        <w:spacing w:line="360" w:lineRule="auto"/>
        <w:ind w:firstLine="56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按照GB 5009.156-2016中 4.2.9条款的要求配制</w:t>
      </w:r>
      <w:commentRangeStart w:id="10"/>
      <w:r>
        <w:rPr>
          <w:rFonts w:hint="default" w:ascii="Times New Roman" w:hAnsi="Times New Roman" w:eastAsia="宋体" w:cs="Times New Roman"/>
          <w:sz w:val="24"/>
          <w:szCs w:val="24"/>
        </w:rPr>
        <w:t>1</w:t>
      </w:r>
      <w:r>
        <w:rPr>
          <w:rFonts w:hint="eastAsia" w:ascii="Times New Roman" w:hAnsi="Times New Roman" w:cs="Times New Roman"/>
          <w:sz w:val="24"/>
          <w:szCs w:val="24"/>
          <w:lang w:eastAsia="zh-CN"/>
        </w:rPr>
        <w:t>（</w:t>
      </w:r>
      <w:r>
        <w:rPr>
          <w:rFonts w:hint="eastAsia"/>
          <w:szCs w:val="18"/>
          <w:lang w:val="en-US" w:eastAsia="zh-CN"/>
        </w:rPr>
        <w:t>g</w:t>
      </w:r>
      <w:r>
        <w:rPr>
          <w:szCs w:val="18"/>
        </w:rPr>
        <w:t>·</w:t>
      </w:r>
      <w:r>
        <w:rPr>
          <w:rFonts w:hint="eastAsia"/>
          <w:szCs w:val="18"/>
          <w:lang w:val="en-US" w:eastAsia="zh-CN"/>
        </w:rPr>
        <w:t>L</w:t>
      </w:r>
      <w:r>
        <w:rPr>
          <w:rFonts w:hint="eastAsia"/>
          <w:szCs w:val="18"/>
          <w:vertAlign w:val="superscript"/>
        </w:rPr>
        <w:t>-1</w:t>
      </w:r>
      <w:r>
        <w:rPr>
          <w:rFonts w:hint="eastAsia" w:ascii="Times New Roman" w:hAnsi="Times New Roman" w:cs="Times New Roman"/>
          <w:sz w:val="24"/>
          <w:szCs w:val="24"/>
          <w:lang w:eastAsia="zh-CN"/>
        </w:rPr>
        <w:t>）</w:t>
      </w:r>
      <w:commentRangeEnd w:id="10"/>
      <w:r>
        <w:commentReference w:id="10"/>
      </w:r>
      <w:r>
        <w:rPr>
          <w:rFonts w:hint="default" w:ascii="Times New Roman" w:hAnsi="Times New Roman" w:eastAsia="宋体" w:cs="Times New Roman"/>
          <w:sz w:val="24"/>
          <w:szCs w:val="24"/>
        </w:rPr>
        <w:t>柠檬酸溶液：称取1.09g一水合柠檬酸，加水溶解至1000mL。</w:t>
      </w:r>
    </w:p>
    <w:p w14:paraId="4C9ABF20">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1.3</w:t>
      </w:r>
      <w:r>
        <w:rPr>
          <w:rFonts w:hint="default" w:ascii="Times New Roman" w:hAnsi="Times New Roman" w:eastAsia="宋体" w:cs="Times New Roman"/>
          <w:sz w:val="24"/>
          <w:szCs w:val="24"/>
        </w:rPr>
        <w:t>迁移试验的面积体积比（S/V）</w:t>
      </w:r>
    </w:p>
    <w:p w14:paraId="43A6B11C">
      <w:pPr>
        <w:pStyle w:val="12"/>
        <w:rPr>
          <w:rFonts w:hint="default" w:ascii="Times New Roman" w:hAnsi="Times New Roman" w:eastAsia="宋体" w:cs="Times New Roman"/>
          <w:b/>
          <w:bCs/>
        </w:rPr>
      </w:pPr>
      <w:r>
        <w:rPr>
          <w:rFonts w:hint="default" w:ascii="Arial" w:hAnsi="Arial" w:eastAsia="宋体" w:cs="Arial"/>
          <w:b/>
          <w:bCs/>
        </w:rPr>
        <w:t>……</w:t>
      </w:r>
    </w:p>
    <w:p w14:paraId="6BF11C0B">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eastAsia="宋体" w:cs="Times New Roman"/>
          <w:b w:val="0"/>
          <w:bCs w:val="0"/>
          <w:sz w:val="28"/>
          <w:szCs w:val="28"/>
        </w:rPr>
      </w:pPr>
      <w:commentRangeStart w:id="11"/>
      <w:r>
        <w:rPr>
          <w:rFonts w:hint="default" w:ascii="Times New Roman" w:hAnsi="Times New Roman" w:eastAsia="宋体" w:cs="Times New Roman"/>
          <w:b w:val="0"/>
          <w:bCs w:val="0"/>
          <w:sz w:val="28"/>
          <w:szCs w:val="28"/>
          <w:lang w:val="en-US" w:eastAsia="zh-CN"/>
        </w:rPr>
        <w:t>2</w:t>
      </w:r>
      <w:r>
        <w:rPr>
          <w:rFonts w:hint="default" w:ascii="Times New Roman" w:hAnsi="Times New Roman" w:eastAsia="宋体" w:cs="Times New Roman"/>
          <w:b w:val="0"/>
          <w:bCs w:val="0"/>
          <w:sz w:val="28"/>
          <w:szCs w:val="28"/>
        </w:rPr>
        <w:t>试验结果</w:t>
      </w:r>
    </w:p>
    <w:p w14:paraId="5FC1CA34">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恒温烘箱加热法试验结果</w:t>
      </w:r>
      <w:commentRangeEnd w:id="11"/>
      <w:r>
        <w:commentReference w:id="11"/>
      </w:r>
    </w:p>
    <w:p w14:paraId="14204A47">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按照以上试验方法，采用恒温恒温烘箱加热法进行迁移试验，所得的试验结果如表</w:t>
      </w:r>
      <w:r>
        <w:rPr>
          <w:rFonts w:hint="eastAsia" w:ascii="Times New Roman" w:hAnsi="Times New Roman" w:cs="Times New Roman"/>
          <w:sz w:val="24"/>
          <w:szCs w:val="24"/>
          <w:lang w:val="en-US" w:eastAsia="zh-CN"/>
        </w:rPr>
        <w:t>1</w:t>
      </w:r>
      <w:r>
        <w:rPr>
          <w:rFonts w:hint="default" w:ascii="Times New Roman" w:hAnsi="Times New Roman" w:eastAsia="宋体" w:cs="Times New Roman"/>
          <w:sz w:val="24"/>
          <w:szCs w:val="24"/>
        </w:rPr>
        <w:t>所示：</w:t>
      </w:r>
    </w:p>
    <w:p w14:paraId="36D295D9">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bCs/>
          <w:sz w:val="21"/>
          <w:szCs w:val="21"/>
        </w:rPr>
      </w:pPr>
      <w:commentRangeStart w:id="12"/>
      <w:commentRangeStart w:id="13"/>
      <w:r>
        <w:rPr>
          <w:rFonts w:hint="default" w:ascii="Times New Roman" w:hAnsi="Times New Roman" w:eastAsia="宋体" w:cs="Times New Roman"/>
          <w:b/>
          <w:bCs/>
          <w:sz w:val="21"/>
          <w:szCs w:val="21"/>
        </w:rPr>
        <w:t>表</w:t>
      </w:r>
      <w:r>
        <w:rPr>
          <w:rFonts w:hint="eastAsia" w:ascii="Times New Roman" w:hAnsi="Times New Roman" w:cs="Times New Roman"/>
          <w:b/>
          <w:bCs/>
          <w:sz w:val="21"/>
          <w:szCs w:val="21"/>
          <w:lang w:val="en-US" w:eastAsia="zh-CN"/>
        </w:rPr>
        <w:t>1</w:t>
      </w:r>
      <w:r>
        <w:rPr>
          <w:rFonts w:hint="default" w:ascii="Times New Roman" w:hAnsi="Times New Roman" w:eastAsia="宋体" w:cs="Times New Roman"/>
          <w:b/>
          <w:bCs/>
          <w:sz w:val="21"/>
          <w:szCs w:val="21"/>
        </w:rPr>
        <w:t xml:space="preserve"> 恒温烘箱加热法国内不同品牌无涂层铁锅样品试验数据</w:t>
      </w:r>
      <w:commentRangeEnd w:id="12"/>
      <w:r>
        <w:rPr>
          <w:b/>
          <w:bCs/>
          <w:sz w:val="21"/>
          <w:szCs w:val="21"/>
        </w:rPr>
        <w:commentReference w:id="12"/>
      </w:r>
    </w:p>
    <w:tbl>
      <w:tblPr>
        <w:tblStyle w:val="6"/>
        <w:tblW w:w="8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9"/>
        <w:gridCol w:w="2035"/>
        <w:gridCol w:w="2262"/>
        <w:gridCol w:w="2262"/>
      </w:tblGrid>
      <w:tr w14:paraId="165D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579" w:type="dxa"/>
            <w:tcBorders>
              <w:tl2br w:val="single" w:color="auto" w:sz="4" w:space="0"/>
            </w:tcBorders>
            <w:shd w:val="clear" w:color="auto" w:fill="auto"/>
          </w:tcPr>
          <w:p w14:paraId="07168C89">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440" w:firstLineChars="200"/>
              <w:jc w:val="left"/>
              <w:textAlignment w:val="auto"/>
              <w:rPr>
                <w:rFonts w:hint="default" w:ascii="Times New Roman" w:hAnsi="Times New Roman" w:eastAsia="宋体" w:cs="Times New Roman"/>
                <w:sz w:val="22"/>
                <w:szCs w:val="22"/>
              </w:rPr>
            </w:pPr>
            <w:r>
              <w:rPr>
                <w:rFonts w:hint="default" w:ascii="Times New Roman" w:hAnsi="Times New Roman" w:eastAsia="宋体" w:cs="Times New Roman"/>
                <w:sz w:val="22"/>
                <w:szCs w:val="22"/>
              </w:rPr>
              <w:t xml:space="preserve">试验结果 </w:t>
            </w:r>
          </w:p>
          <w:p w14:paraId="18E27334">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2"/>
                <w:szCs w:val="22"/>
              </w:rPr>
              <w:t>样品编号</w:t>
            </w:r>
          </w:p>
        </w:tc>
        <w:tc>
          <w:tcPr>
            <w:tcW w:w="2035" w:type="dxa"/>
            <w:shd w:val="clear" w:color="auto" w:fill="auto"/>
            <w:vAlign w:val="center"/>
          </w:tcPr>
          <w:p w14:paraId="692EC722">
            <w:pPr>
              <w:pStyle w:val="2"/>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砷（As）/</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mg</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kg</w:t>
            </w:r>
            <w:r>
              <w:rPr>
                <w:rFonts w:hint="eastAsia" w:ascii="Times New Roman" w:hAnsi="Times New Roman" w:eastAsia="宋体" w:cs="Times New Roman"/>
                <w:sz w:val="24"/>
                <w:szCs w:val="24"/>
                <w:vertAlign w:val="superscript"/>
              </w:rPr>
              <w:t>-1</w:t>
            </w:r>
            <w:r>
              <w:rPr>
                <w:rFonts w:hint="eastAsia" w:ascii="Times New Roman" w:hAnsi="Times New Roman" w:eastAsia="宋体" w:cs="Times New Roman"/>
                <w:sz w:val="24"/>
                <w:szCs w:val="24"/>
              </w:rPr>
              <w:t>)</w:t>
            </w:r>
          </w:p>
        </w:tc>
        <w:tc>
          <w:tcPr>
            <w:tcW w:w="2262" w:type="dxa"/>
            <w:shd w:val="clear" w:color="auto" w:fill="auto"/>
            <w:vAlign w:val="center"/>
          </w:tcPr>
          <w:p w14:paraId="4D965534">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333333"/>
                <w:sz w:val="24"/>
                <w:szCs w:val="24"/>
              </w:rPr>
              <w:t>镉（Cd）</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mg</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kg</w:t>
            </w:r>
            <w:r>
              <w:rPr>
                <w:rFonts w:hint="eastAsia" w:ascii="Times New Roman" w:hAnsi="Times New Roman" w:eastAsia="宋体" w:cs="Times New Roman"/>
                <w:sz w:val="24"/>
                <w:szCs w:val="24"/>
                <w:vertAlign w:val="superscript"/>
              </w:rPr>
              <w:t>-1</w:t>
            </w:r>
            <w:r>
              <w:rPr>
                <w:rFonts w:hint="eastAsia" w:ascii="Times New Roman" w:hAnsi="Times New Roman" w:eastAsia="宋体" w:cs="Times New Roman"/>
                <w:sz w:val="24"/>
                <w:szCs w:val="24"/>
              </w:rPr>
              <w:t>)</w:t>
            </w:r>
          </w:p>
        </w:tc>
        <w:tc>
          <w:tcPr>
            <w:tcW w:w="2262" w:type="dxa"/>
            <w:shd w:val="clear" w:color="auto" w:fill="auto"/>
            <w:vAlign w:val="center"/>
          </w:tcPr>
          <w:p w14:paraId="22FFFF53">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color w:val="333333"/>
                <w:sz w:val="24"/>
                <w:szCs w:val="24"/>
              </w:rPr>
              <w:t>铅（Pb）</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mg</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kg</w:t>
            </w:r>
            <w:r>
              <w:rPr>
                <w:rFonts w:hint="eastAsia" w:ascii="Times New Roman" w:hAnsi="Times New Roman" w:eastAsia="宋体" w:cs="Times New Roman"/>
                <w:sz w:val="24"/>
                <w:szCs w:val="24"/>
                <w:vertAlign w:val="superscript"/>
              </w:rPr>
              <w:t>-1</w:t>
            </w:r>
            <w:r>
              <w:rPr>
                <w:rFonts w:hint="eastAsia" w:ascii="Times New Roman" w:hAnsi="Times New Roman" w:eastAsia="宋体" w:cs="Times New Roman"/>
                <w:sz w:val="24"/>
                <w:szCs w:val="24"/>
              </w:rPr>
              <w:t>)</w:t>
            </w:r>
          </w:p>
        </w:tc>
      </w:tr>
      <w:tr w14:paraId="1E30B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579" w:type="dxa"/>
            <w:shd w:val="clear" w:color="auto" w:fill="auto"/>
            <w:vAlign w:val="center"/>
          </w:tcPr>
          <w:p w14:paraId="187BD33B">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2035" w:type="dxa"/>
            <w:shd w:val="clear" w:color="auto" w:fill="auto"/>
            <w:vAlign w:val="center"/>
          </w:tcPr>
          <w:p w14:paraId="345C9CA2">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w:t>
            </w:r>
          </w:p>
        </w:tc>
        <w:tc>
          <w:tcPr>
            <w:tcW w:w="2262" w:type="dxa"/>
            <w:shd w:val="clear" w:color="auto" w:fill="auto"/>
            <w:vAlign w:val="center"/>
          </w:tcPr>
          <w:p w14:paraId="017189D9">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0.0130</w:t>
            </w:r>
          </w:p>
        </w:tc>
        <w:tc>
          <w:tcPr>
            <w:tcW w:w="2262" w:type="dxa"/>
            <w:shd w:val="clear" w:color="auto" w:fill="auto"/>
            <w:vAlign w:val="center"/>
          </w:tcPr>
          <w:p w14:paraId="0D2C9554">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0.0217</w:t>
            </w:r>
          </w:p>
        </w:tc>
      </w:tr>
      <w:tr w14:paraId="3311B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579" w:type="dxa"/>
            <w:shd w:val="clear" w:color="auto" w:fill="auto"/>
            <w:vAlign w:val="center"/>
          </w:tcPr>
          <w:p w14:paraId="459C396C">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2035" w:type="dxa"/>
            <w:shd w:val="clear" w:color="auto" w:fill="auto"/>
            <w:vAlign w:val="center"/>
          </w:tcPr>
          <w:p w14:paraId="79740853">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＜0.0000</w:t>
            </w:r>
          </w:p>
        </w:tc>
        <w:tc>
          <w:tcPr>
            <w:tcW w:w="2262" w:type="dxa"/>
            <w:shd w:val="clear" w:color="auto" w:fill="auto"/>
            <w:vAlign w:val="center"/>
          </w:tcPr>
          <w:p w14:paraId="064C7DEC">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0.0174</w:t>
            </w:r>
          </w:p>
        </w:tc>
        <w:tc>
          <w:tcPr>
            <w:tcW w:w="2262" w:type="dxa"/>
            <w:shd w:val="clear" w:color="auto" w:fill="auto"/>
            <w:vAlign w:val="center"/>
          </w:tcPr>
          <w:p w14:paraId="5633FD47">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0.0348</w:t>
            </w:r>
          </w:p>
        </w:tc>
      </w:tr>
      <w:tr w14:paraId="7976F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579" w:type="dxa"/>
            <w:shd w:val="clear" w:color="auto" w:fill="auto"/>
            <w:vAlign w:val="center"/>
          </w:tcPr>
          <w:p w14:paraId="5940F3DA">
            <w:pPr>
              <w:pStyle w:val="12"/>
              <w:rPr>
                <w:rFonts w:hint="default" w:ascii="Times New Roman" w:hAnsi="Times New Roman" w:eastAsia="宋体" w:cs="Times New Roman"/>
                <w:sz w:val="24"/>
                <w:szCs w:val="24"/>
              </w:rPr>
            </w:pPr>
            <w:r>
              <w:rPr>
                <w:rFonts w:hint="default" w:ascii="Arial" w:hAnsi="Arial" w:eastAsia="宋体" w:cs="Arial"/>
                <w:b/>
                <w:bCs/>
              </w:rPr>
              <w:t>……</w:t>
            </w:r>
          </w:p>
        </w:tc>
        <w:tc>
          <w:tcPr>
            <w:tcW w:w="2035" w:type="dxa"/>
            <w:shd w:val="clear" w:color="auto" w:fill="auto"/>
            <w:vAlign w:val="center"/>
          </w:tcPr>
          <w:p w14:paraId="39141CFD">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p>
        </w:tc>
        <w:tc>
          <w:tcPr>
            <w:tcW w:w="2262" w:type="dxa"/>
            <w:shd w:val="clear" w:color="auto" w:fill="auto"/>
            <w:vAlign w:val="center"/>
          </w:tcPr>
          <w:p w14:paraId="4613E0A1">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p>
        </w:tc>
        <w:tc>
          <w:tcPr>
            <w:tcW w:w="2262" w:type="dxa"/>
            <w:shd w:val="clear" w:color="auto" w:fill="auto"/>
            <w:vAlign w:val="center"/>
          </w:tcPr>
          <w:p w14:paraId="1E977830">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sz w:val="24"/>
                <w:szCs w:val="24"/>
              </w:rPr>
            </w:pPr>
          </w:p>
        </w:tc>
      </w:tr>
      <w:tr w14:paraId="3BB9C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138" w:type="dxa"/>
            <w:gridSpan w:val="4"/>
            <w:shd w:val="clear" w:color="auto" w:fill="auto"/>
            <w:vAlign w:val="center"/>
          </w:tcPr>
          <w:p w14:paraId="69E98FBA">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表注：</w:t>
            </w:r>
          </w:p>
        </w:tc>
      </w:tr>
      <w:commentRangeEnd w:id="13"/>
    </w:tbl>
    <w:p w14:paraId="78FD5AB5">
      <w:pPr>
        <w:pStyle w:val="11"/>
        <w:keepNext w:val="0"/>
        <w:keepLines w:val="0"/>
        <w:pageBreakBefore w:val="0"/>
        <w:widowControl w:val="0"/>
        <w:kinsoku/>
        <w:wordWrap/>
        <w:overflowPunct/>
        <w:topLinePunct w:val="0"/>
        <w:autoSpaceDE/>
        <w:autoSpaceDN/>
        <w:bidi w:val="0"/>
        <w:adjustRightInd/>
        <w:snapToGrid/>
        <w:spacing w:line="360" w:lineRule="auto"/>
        <w:ind w:firstLine="560"/>
        <w:jc w:val="left"/>
        <w:textAlignment w:val="auto"/>
        <w:rPr>
          <w:rFonts w:hint="default" w:ascii="Times New Roman" w:hAnsi="Times New Roman" w:eastAsia="宋体" w:cs="Times New Roman"/>
          <w:sz w:val="24"/>
          <w:szCs w:val="24"/>
        </w:rPr>
      </w:pPr>
      <w:r>
        <w:commentReference w:id="13"/>
      </w:r>
    </w:p>
    <w:p w14:paraId="16E2D8B3">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明火加热法试验结果</w:t>
      </w:r>
    </w:p>
    <w:p w14:paraId="2A2F80C6">
      <w:pPr>
        <w:pStyle w:val="13"/>
        <w:adjustRightInd w:val="0"/>
        <w:snapToGrid w:val="0"/>
        <w:ind w:firstLine="480" w:firstLineChars="200"/>
        <w:jc w:val="left"/>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公式</w:t>
      </w:r>
      <w:r>
        <w:rPr>
          <w:rFonts w:hint="eastAsia" w:ascii="Times New Roman" w:hAnsi="Times New Roman" w:eastAsia="宋体" w:cs="Times New Roman"/>
          <w:kern w:val="2"/>
          <w:sz w:val="24"/>
          <w:szCs w:val="24"/>
          <w:lang w:val="en-US" w:eastAsia="zh-CN" w:bidi="ar-SA"/>
        </w:rPr>
        <w:t>示例如下：</w:t>
      </w:r>
    </w:p>
    <w:p w14:paraId="6B625BF8">
      <w:pPr>
        <w:pStyle w:val="11"/>
        <w:keepNext w:val="0"/>
        <w:keepLines w:val="0"/>
        <w:pageBreakBefore w:val="0"/>
        <w:widowControl w:val="0"/>
        <w:kinsoku/>
        <w:wordWrap/>
        <w:overflowPunct/>
        <w:topLinePunct w:val="0"/>
        <w:autoSpaceDE/>
        <w:autoSpaceDN/>
        <w:bidi w:val="0"/>
        <w:adjustRightInd/>
        <w:snapToGrid/>
        <w:spacing w:line="360" w:lineRule="auto"/>
        <w:ind w:firstLine="560"/>
        <w:jc w:val="both"/>
        <w:textAlignment w:val="auto"/>
        <w:rPr>
          <w:rFonts w:hint="eastAsia" w:ascii="Times New Roman" w:hAnsi="Times New Roman" w:eastAsia="宋体" w:cs="Times New Roman"/>
          <w:kern w:val="2"/>
          <w:sz w:val="24"/>
          <w:szCs w:val="24"/>
          <w:lang w:val="en-US" w:eastAsia="zh-CN" w:bidi="ar-SA"/>
        </w:rPr>
      </w:pPr>
      <w:commentRangeStart w:id="14"/>
      <w:r>
        <w:rPr>
          <w:rFonts w:hint="eastAsia" w:ascii="Times New Roman" w:hAnsi="Times New Roman" w:eastAsia="宋体" w:cs="Times New Roman"/>
          <w:kern w:val="2"/>
          <w:sz w:val="24"/>
          <w:szCs w:val="24"/>
          <w:lang w:val="en-US" w:eastAsia="zh-CN" w:bidi="ar-SA"/>
        </w:rPr>
        <w:t>Pu=</w:t>
      </w:r>
      <w:r>
        <w:rPr>
          <w:rFonts w:hint="default" w:ascii="Times New Roman" w:hAnsi="Times New Roman" w:eastAsia="宋体" w:cs="Times New Roman"/>
          <w:kern w:val="2"/>
          <w:sz w:val="24"/>
          <w:szCs w:val="24"/>
          <w:lang w:val="en-US" w:eastAsia="zh-CN" w:bidi="ar-SA"/>
        </w:rPr>
        <w:t>π</w:t>
      </w:r>
      <w:r>
        <w:rPr>
          <w:rFonts w:hint="eastAsia" w:ascii="Times New Roman" w:hAnsi="Times New Roman" w:eastAsia="宋体" w:cs="Times New Roman"/>
          <w:kern w:val="2"/>
          <w:sz w:val="24"/>
          <w:szCs w:val="24"/>
          <w:lang w:val="en-US" w:eastAsia="zh-CN" w:bidi="ar-SA"/>
        </w:rPr>
        <w:t>/H0g(x)xeibx</w:t>
      </w:r>
      <w:r>
        <w:rPr>
          <w:rFonts w:hint="default" w:ascii="Times New Roman" w:hAnsi="Times New Roman" w:eastAsia="宋体" w:cs="Times New Roman"/>
          <w:kern w:val="2"/>
          <w:sz w:val="24"/>
          <w:szCs w:val="24"/>
          <w:lang w:val="en-US" w:eastAsia="zh-CN" w:bidi="ar-SA"/>
        </w:rPr>
        <w:t xml:space="preserve"> </w:t>
      </w:r>
      <w:r>
        <w:rPr>
          <w:rFonts w:hint="eastAsia" w:ascii="Times New Roman" w:hAnsi="Times New Roman" w:eastAsia="宋体" w:cs="Times New Roman"/>
          <w:kern w:val="2"/>
          <w:sz w:val="24"/>
          <w:szCs w:val="24"/>
          <w:lang w:val="en-US" w:eastAsia="zh-CN" w:bidi="ar-SA"/>
        </w:rPr>
        <w:t xml:space="preserve">                                            （1）</w:t>
      </w:r>
    </w:p>
    <w:p w14:paraId="26D2ECD9">
      <w:pPr>
        <w:adjustRightInd w:val="0"/>
        <w:snapToGrid w:val="0"/>
        <w:ind w:firstLine="480" w:firstLineChars="20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式</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1</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中</w:t>
      </w:r>
      <w:r>
        <w:rPr>
          <w:rFonts w:hint="eastAsia" w:ascii="Times New Roman" w:hAnsi="Times New Roman" w:eastAsia="宋体" w:cs="Times New Roman"/>
          <w:kern w:val="2"/>
          <w:sz w:val="24"/>
          <w:szCs w:val="24"/>
          <w:highlight w:val="yellow"/>
          <w:lang w:val="en-US" w:eastAsia="zh-CN" w:bidi="ar-SA"/>
        </w:rPr>
        <w:t>：</w:t>
      </w:r>
      <w:r>
        <w:rPr>
          <w:rFonts w:hint="default" w:ascii="Times New Roman" w:hAnsi="Times New Roman" w:eastAsia="宋体" w:cs="Times New Roman"/>
          <w:kern w:val="2"/>
          <w:sz w:val="24"/>
          <w:szCs w:val="24"/>
          <w:lang w:val="en-US" w:eastAsia="zh-CN" w:bidi="ar-SA"/>
        </w:rPr>
        <w:t>Pu为单位长度产热功率，kW；</w:t>
      </w:r>
      <w:r>
        <w:rPr>
          <w:rFonts w:hint="eastAsia" w:ascii="Times New Roman" w:hAnsi="Times New Roman" w:eastAsia="宋体" w:cs="Times New Roman"/>
          <w:kern w:val="2"/>
          <w:sz w:val="24"/>
          <w:szCs w:val="24"/>
          <w:lang w:val="en-US" w:eastAsia="zh-CN" w:bidi="ar-SA"/>
        </w:rPr>
        <w:t>H0为初始高度，H0=H1+H2；……。</w:t>
      </w:r>
    </w:p>
    <w:p w14:paraId="51ABF75A">
      <w:pPr>
        <w:keepNext w:val="0"/>
        <w:keepLines w:val="0"/>
        <w:pageBreakBefore w:val="0"/>
        <w:kinsoku/>
        <w:wordWrap/>
        <w:overflowPunct/>
        <w:topLinePunct w:val="0"/>
        <w:autoSpaceDE/>
        <w:autoSpaceDN/>
        <w:bidi w:val="0"/>
        <w:adjustRightInd/>
        <w:snapToGrid/>
        <w:spacing w:line="300" w:lineRule="auto"/>
        <w:ind w:firstLine="420" w:firstLineChars="200"/>
        <w:jc w:val="both"/>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position w:val="-10"/>
          <w:sz w:val="21"/>
          <w:szCs w:val="21"/>
        </w:rPr>
        <w:object>
          <v:shape id="_x0000_i1025" o:spt="75" type="#_x0000_t75" style="height:17pt;width:64pt;" o:ole="t" filled="f" o:preferrelative="t" stroked="f" coordsize="21600,21600">
            <v:path/>
            <v:fill on="f" focussize="0,0"/>
            <v:stroke on="f"/>
            <v:imagedata r:id="rId7" o:title=""/>
            <o:lock v:ext="edit" aspectratio="t"/>
            <w10:wrap type="none"/>
            <w10:anchorlock/>
          </v:shape>
          <o:OLEObject Type="Embed" ProgID="Equation.3" ShapeID="_x0000_i1025" DrawAspect="Content" ObjectID="_1468075725" r:id="rId6">
            <o:LockedField>false</o:LockedField>
          </o:OLEObject>
        </w:object>
      </w:r>
      <w:r>
        <w:rPr>
          <w:rFonts w:hint="default" w:ascii="Times New Roman" w:hAnsi="Times New Roman" w:eastAsia="宋体" w:cs="Times New Roman"/>
          <w:sz w:val="21"/>
          <w:szCs w:val="21"/>
          <w:lang w:val="en-US" w:eastAsia="zh-CN"/>
        </w:rPr>
        <w:t xml:space="preserve">                         </w:t>
      </w: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lang w:val="en-US" w:eastAsia="zh-CN"/>
        </w:rPr>
        <w:t xml:space="preserve"> </w:t>
      </w:r>
      <w:r>
        <w:rPr>
          <w:rFonts w:hint="eastAsia" w:ascii="Times New Roman" w:hAnsi="Times New Roman" w:cs="Times New Roman"/>
          <w:sz w:val="24"/>
          <w:szCs w:val="24"/>
          <w:lang w:val="en-US" w:eastAsia="zh-CN"/>
        </w:rPr>
        <w:t xml:space="preserve">   （2）</w:t>
      </w:r>
      <w:commentRangeEnd w:id="14"/>
      <w:r>
        <w:commentReference w:id="14"/>
      </w:r>
    </w:p>
    <w:p w14:paraId="45061099">
      <w:pPr>
        <w:autoSpaceDE w:val="0"/>
        <w:autoSpaceDN w:val="0"/>
        <w:adjustRightInd w:val="0"/>
        <w:snapToGrid w:val="0"/>
        <w:jc w:val="center"/>
      </w:pPr>
      <w:r>
        <w:commentReference w:id="15"/>
      </w:r>
      <w:r>
        <w:rPr>
          <w:rFonts w:hint="eastAsia"/>
          <w:szCs w:val="18"/>
        </w:rPr>
        <w:drawing>
          <wp:inline distT="0" distB="0" distL="0" distR="0">
            <wp:extent cx="3176905" cy="1609090"/>
            <wp:effectExtent l="0" t="0" r="4445"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176905" cy="1609090"/>
                    </a:xfrm>
                    <a:prstGeom prst="rect">
                      <a:avLst/>
                    </a:prstGeom>
                    <a:noFill/>
                    <a:ln>
                      <a:noFill/>
                    </a:ln>
                  </pic:spPr>
                </pic:pic>
              </a:graphicData>
            </a:graphic>
          </wp:inline>
        </w:drawing>
      </w:r>
    </w:p>
    <w:p w14:paraId="75BA91FA">
      <w:pPr>
        <w:autoSpaceDE w:val="0"/>
        <w:autoSpaceDN w:val="0"/>
        <w:adjustRightInd w:val="0"/>
        <w:snapToGrid w:val="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图</w:t>
      </w:r>
      <w:r>
        <w:rPr>
          <w:rFonts w:hint="eastAsia" w:ascii="Times New Roman" w:hAnsi="Times New Roman" w:cs="Times New Roman"/>
          <w:b/>
          <w:bCs/>
          <w:kern w:val="0"/>
          <w:sz w:val="21"/>
          <w:szCs w:val="21"/>
          <w:lang w:val="en-US" w:eastAsia="zh-CN"/>
        </w:rPr>
        <w:t>1</w:t>
      </w:r>
      <w:r>
        <w:rPr>
          <w:rFonts w:hint="default" w:ascii="Times New Roman" w:hAnsi="Times New Roman" w:eastAsia="宋体" w:cs="Times New Roman"/>
          <w:b/>
          <w:bCs/>
          <w:kern w:val="0"/>
          <w:sz w:val="21"/>
          <w:szCs w:val="21"/>
        </w:rPr>
        <w:t xml:space="preserve">  </w:t>
      </w:r>
      <w:r>
        <w:rPr>
          <w:rFonts w:hint="default" w:ascii="Times New Roman" w:hAnsi="Times New Roman" w:eastAsia="宋体" w:cs="Times New Roman"/>
          <w:b/>
          <w:bCs/>
          <w:i/>
          <w:kern w:val="0"/>
          <w:sz w:val="21"/>
          <w:szCs w:val="21"/>
        </w:rPr>
        <w:t>K</w:t>
      </w:r>
      <w:r>
        <w:rPr>
          <w:rFonts w:hint="default" w:ascii="Times New Roman" w:hAnsi="Times New Roman" w:eastAsia="宋体" w:cs="Times New Roman"/>
          <w:b/>
          <w:bCs/>
          <w:kern w:val="0"/>
          <w:sz w:val="21"/>
          <w:szCs w:val="21"/>
        </w:rPr>
        <w:t>/</w:t>
      </w:r>
      <w:r>
        <w:rPr>
          <w:rFonts w:hint="default" w:ascii="Times New Roman" w:hAnsi="Times New Roman" w:eastAsia="宋体" w:cs="Times New Roman"/>
          <w:b/>
          <w:bCs/>
          <w:i/>
          <w:kern w:val="0"/>
          <w:sz w:val="21"/>
          <w:szCs w:val="21"/>
        </w:rPr>
        <w:t>K</w:t>
      </w:r>
      <w:r>
        <w:rPr>
          <w:rFonts w:hint="default" w:ascii="Times New Roman" w:hAnsi="Times New Roman" w:eastAsia="宋体" w:cs="Times New Roman"/>
          <w:b/>
          <w:bCs/>
          <w:kern w:val="0"/>
          <w:sz w:val="21"/>
          <w:szCs w:val="21"/>
          <w:vertAlign w:val="subscript"/>
        </w:rPr>
        <w:t>0</w:t>
      </w:r>
      <w:r>
        <w:rPr>
          <w:rFonts w:hint="default" w:ascii="Times New Roman" w:hAnsi="Times New Roman" w:eastAsia="宋体" w:cs="Times New Roman"/>
          <w:b/>
          <w:bCs/>
          <w:kern w:val="0"/>
          <w:sz w:val="21"/>
          <w:szCs w:val="21"/>
        </w:rPr>
        <w:t>曲线</w:t>
      </w:r>
    </w:p>
    <w:p w14:paraId="79819EC0">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szCs w:val="21"/>
        </w:rPr>
      </w:pPr>
      <w:commentRangeStart w:id="16"/>
      <w:r>
        <w:rPr>
          <w:szCs w:val="21"/>
        </w:rPr>
        <w:drawing>
          <wp:inline distT="0" distB="0" distL="0" distR="0">
            <wp:extent cx="2713355" cy="1888490"/>
            <wp:effectExtent l="0" t="0" r="1079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713355" cy="1888490"/>
                    </a:xfrm>
                    <a:prstGeom prst="rect">
                      <a:avLst/>
                    </a:prstGeom>
                    <a:noFill/>
                    <a:ln>
                      <a:noFill/>
                    </a:ln>
                  </pic:spPr>
                </pic:pic>
              </a:graphicData>
            </a:graphic>
          </wp:inline>
        </w:drawing>
      </w:r>
      <w:commentRangeEnd w:id="16"/>
      <w:r>
        <w:commentReference w:id="16"/>
      </w:r>
    </w:p>
    <w:p w14:paraId="0C8784CC">
      <w:pPr>
        <w:autoSpaceDE w:val="0"/>
        <w:autoSpaceDN w:val="0"/>
        <w:adjustRightInd w:val="0"/>
        <w:snapToGrid w:val="0"/>
        <w:ind w:firstLine="3373" w:firstLineChars="1600"/>
        <w:jc w:val="both"/>
        <w:rPr>
          <w:rFonts w:hint="eastAsia" w:ascii="宋体" w:hAnsi="宋体" w:eastAsia="宋体" w:cs="宋体"/>
          <w:b/>
          <w:bCs/>
          <w:kern w:val="0"/>
          <w:sz w:val="21"/>
          <w:szCs w:val="21"/>
        </w:rPr>
      </w:pPr>
      <w:r>
        <w:rPr>
          <w:rFonts w:hint="eastAsia" w:ascii="宋体" w:hAnsi="宋体" w:eastAsia="宋体" w:cs="宋体"/>
          <w:b/>
          <w:bCs/>
          <w:kern w:val="0"/>
          <w:sz w:val="21"/>
          <w:szCs w:val="21"/>
        </w:rPr>
        <w:t>图</w:t>
      </w:r>
      <w:r>
        <w:rPr>
          <w:rFonts w:hint="eastAsia" w:ascii="宋体" w:hAnsi="宋体" w:cs="宋体"/>
          <w:b/>
          <w:bCs/>
          <w:kern w:val="0"/>
          <w:sz w:val="21"/>
          <w:szCs w:val="21"/>
          <w:lang w:val="en-US" w:eastAsia="zh-CN"/>
        </w:rPr>
        <w:t>2</w:t>
      </w:r>
      <w:r>
        <w:rPr>
          <w:rFonts w:hint="eastAsia" w:ascii="宋体" w:hAnsi="宋体" w:eastAsia="宋体" w:cs="宋体"/>
          <w:b/>
          <w:bCs/>
          <w:kern w:val="0"/>
          <w:sz w:val="21"/>
          <w:szCs w:val="21"/>
        </w:rPr>
        <w:t xml:space="preserve">  温度曲线</w:t>
      </w:r>
    </w:p>
    <w:p w14:paraId="257F6566">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szCs w:val="21"/>
        </w:rPr>
      </w:pPr>
      <w:commentRangeStart w:id="17"/>
      <w:r>
        <w:rPr>
          <w:szCs w:val="21"/>
        </w:rPr>
        <w:drawing>
          <wp:inline distT="0" distB="0" distL="0" distR="0">
            <wp:extent cx="2742565" cy="1868805"/>
            <wp:effectExtent l="0" t="0" r="635" b="171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t="3900"/>
                    <a:stretch>
                      <a:fillRect/>
                    </a:stretch>
                  </pic:blipFill>
                  <pic:spPr>
                    <a:xfrm>
                      <a:off x="0" y="0"/>
                      <a:ext cx="2742565" cy="1868805"/>
                    </a:xfrm>
                    <a:prstGeom prst="rect">
                      <a:avLst/>
                    </a:prstGeom>
                    <a:noFill/>
                    <a:ln>
                      <a:noFill/>
                    </a:ln>
                  </pic:spPr>
                </pic:pic>
              </a:graphicData>
            </a:graphic>
          </wp:inline>
        </w:drawing>
      </w:r>
      <w:commentRangeEnd w:id="17"/>
      <w:r>
        <w:commentReference w:id="17"/>
      </w:r>
    </w:p>
    <w:p w14:paraId="1586A63F">
      <w:pPr>
        <w:autoSpaceDE w:val="0"/>
        <w:autoSpaceDN w:val="0"/>
        <w:adjustRightInd w:val="0"/>
        <w:snapToGrid w:val="0"/>
        <w:ind w:firstLine="3373" w:firstLineChars="1600"/>
        <w:jc w:val="both"/>
        <w:rPr>
          <w:rFonts w:hint="eastAsia" w:ascii="宋体" w:hAnsi="宋体" w:eastAsia="宋体" w:cs="宋体"/>
          <w:b/>
          <w:bCs/>
          <w:kern w:val="0"/>
          <w:sz w:val="21"/>
          <w:szCs w:val="21"/>
        </w:rPr>
      </w:pPr>
      <w:r>
        <w:rPr>
          <w:rFonts w:hint="eastAsia" w:ascii="宋体" w:hAnsi="宋体" w:eastAsia="宋体" w:cs="宋体"/>
          <w:b/>
          <w:bCs/>
          <w:kern w:val="0"/>
          <w:sz w:val="21"/>
          <w:szCs w:val="21"/>
        </w:rPr>
        <w:t>图</w:t>
      </w:r>
      <w:r>
        <w:rPr>
          <w:rFonts w:hint="eastAsia" w:ascii="宋体" w:hAnsi="宋体" w:cs="宋体"/>
          <w:b/>
          <w:bCs/>
          <w:kern w:val="0"/>
          <w:sz w:val="21"/>
          <w:szCs w:val="21"/>
          <w:lang w:val="en-US" w:eastAsia="zh-CN"/>
        </w:rPr>
        <w:t>3</w:t>
      </w:r>
      <w:r>
        <w:rPr>
          <w:rFonts w:hint="eastAsia" w:ascii="宋体" w:hAnsi="宋体" w:eastAsia="宋体" w:cs="宋体"/>
          <w:b/>
          <w:bCs/>
          <w:kern w:val="0"/>
          <w:sz w:val="21"/>
          <w:szCs w:val="21"/>
        </w:rPr>
        <w:t xml:space="preserve">  升温均值</w:t>
      </w:r>
    </w:p>
    <w:p w14:paraId="0CB53BA9">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rPr>
          <w:rFonts w:hint="default"/>
          <w:szCs w:val="21"/>
        </w:rPr>
      </w:pPr>
    </w:p>
    <w:p w14:paraId="25E2DE62">
      <w:pPr>
        <w:pStyle w:val="11"/>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commentRangeStart w:id="18"/>
      <w:r>
        <w:rPr>
          <w:rFonts w:hint="default" w:ascii="Times New Roman" w:hAnsi="Times New Roman" w:eastAsia="宋体" w:cs="Times New Roman"/>
          <w:sz w:val="24"/>
          <w:szCs w:val="24"/>
        </w:rPr>
        <w:t>结论</w:t>
      </w:r>
    </w:p>
    <w:p w14:paraId="03C24EF8">
      <w:pPr>
        <w:pStyle w:val="11"/>
        <w:keepNext w:val="0"/>
        <w:keepLines w:val="0"/>
        <w:pageBreakBefore w:val="0"/>
        <w:widowControl w:val="0"/>
        <w:kinsoku/>
        <w:wordWrap/>
        <w:overflowPunct/>
        <w:topLinePunct w:val="0"/>
        <w:autoSpaceDE/>
        <w:autoSpaceDN/>
        <w:bidi w:val="0"/>
        <w:adjustRightInd/>
        <w:snapToGrid/>
        <w:spacing w:line="360" w:lineRule="auto"/>
        <w:ind w:firstLine="560"/>
        <w:jc w:val="left"/>
        <w:textAlignment w:val="auto"/>
        <w:rPr>
          <w:rFonts w:hint="eastAsia" w:ascii="Times New Roman" w:hAnsi="Times New Roman" w:cs="Times New Roman"/>
          <w:sz w:val="24"/>
          <w:szCs w:val="24"/>
          <w:lang w:eastAsia="zh-CN"/>
        </w:rPr>
      </w:pPr>
      <w:r>
        <w:rPr>
          <w:rFonts w:hint="default" w:ascii="Times New Roman" w:hAnsi="Times New Roman" w:eastAsia="宋体" w:cs="Times New Roman"/>
          <w:sz w:val="24"/>
          <w:szCs w:val="24"/>
        </w:rPr>
        <w:t>通过以上两种加热方式对比可以看出</w:t>
      </w:r>
      <w:r>
        <w:rPr>
          <w:rFonts w:hint="eastAsia" w:ascii="Times New Roman" w:hAnsi="Times New Roman" w:cs="Times New Roman"/>
          <w:sz w:val="24"/>
          <w:szCs w:val="24"/>
          <w:lang w:eastAsia="zh-CN"/>
        </w:rPr>
        <w:t>：</w:t>
      </w:r>
    </w:p>
    <w:p w14:paraId="1A02175A">
      <w:pPr>
        <w:pStyle w:val="11"/>
        <w:keepNext w:val="0"/>
        <w:keepLines w:val="0"/>
        <w:pageBreakBefore w:val="0"/>
        <w:widowControl w:val="0"/>
        <w:kinsoku/>
        <w:wordWrap/>
        <w:overflowPunct/>
        <w:topLinePunct w:val="0"/>
        <w:autoSpaceDE/>
        <w:autoSpaceDN/>
        <w:bidi w:val="0"/>
        <w:adjustRightInd/>
        <w:snapToGrid/>
        <w:spacing w:line="360" w:lineRule="auto"/>
        <w:ind w:firstLine="560"/>
        <w:jc w:val="left"/>
        <w:textAlignment w:val="auto"/>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结论一。</w:t>
      </w:r>
      <w:r>
        <w:rPr>
          <w:rFonts w:hint="default" w:ascii="Times New Roman" w:hAnsi="Times New Roman" w:eastAsia="宋体" w:cs="Times New Roman"/>
          <w:sz w:val="24"/>
          <w:szCs w:val="24"/>
        </w:rPr>
        <w:t>恒温烘箱加热法和明火加热法所得的砷（As）迁移量测试结果数据保持一致，均是未检出。</w:t>
      </w:r>
    </w:p>
    <w:p w14:paraId="3D5ECEB2">
      <w:pPr>
        <w:pStyle w:val="11"/>
        <w:keepNext w:val="0"/>
        <w:keepLines w:val="0"/>
        <w:pageBreakBefore w:val="0"/>
        <w:widowControl w:val="0"/>
        <w:kinsoku/>
        <w:wordWrap/>
        <w:overflowPunct/>
        <w:topLinePunct w:val="0"/>
        <w:autoSpaceDE/>
        <w:autoSpaceDN/>
        <w:bidi w:val="0"/>
        <w:adjustRightInd/>
        <w:snapToGrid/>
        <w:spacing w:line="360" w:lineRule="auto"/>
        <w:ind w:firstLine="560"/>
        <w:jc w:val="left"/>
        <w:textAlignment w:val="auto"/>
        <w:rPr>
          <w:rFonts w:hint="default" w:ascii="Times New Roman" w:hAnsi="Times New Roman" w:eastAsia="宋体" w:cs="Times New Roman"/>
          <w:sz w:val="24"/>
          <w:szCs w:val="24"/>
        </w:rPr>
      </w:pPr>
      <w:r>
        <w:rPr>
          <w:rFonts w:hint="eastAsia" w:ascii="Times New Roman" w:hAnsi="Times New Roman" w:cs="Times New Roman"/>
          <w:sz w:val="24"/>
          <w:szCs w:val="24"/>
          <w:lang w:eastAsia="zh-CN"/>
        </w:rPr>
        <w:t>结论二。</w:t>
      </w:r>
      <w:r>
        <w:rPr>
          <w:rFonts w:hint="default" w:ascii="Times New Roman" w:hAnsi="Times New Roman" w:eastAsia="宋体" w:cs="Times New Roman"/>
          <w:sz w:val="24"/>
          <w:szCs w:val="24"/>
        </w:rPr>
        <w:t>可能是由于明火加热法在试验过程中会导致无涂层铁锅局部过热，受热不均，从而导致重金属的迁移量比恒温烘箱加热法偏大。</w:t>
      </w:r>
      <w:r>
        <w:rPr>
          <w:rFonts w:hint="default" w:ascii="Arial" w:hAnsi="Arial" w:eastAsia="宋体" w:cs="Arial"/>
          <w:b/>
          <w:bCs/>
        </w:rPr>
        <w:t>……</w:t>
      </w:r>
      <w:commentRangeEnd w:id="18"/>
      <w:r>
        <w:commentReference w:id="18"/>
      </w:r>
    </w:p>
    <w:p w14:paraId="27256C9F">
      <w:pPr>
        <w:pStyle w:val="1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4"/>
          <w:szCs w:val="24"/>
          <w:lang w:val="en-US" w:eastAsia="zh-CN"/>
        </w:rPr>
      </w:pPr>
      <w:commentRangeStart w:id="19"/>
      <w:r>
        <w:rPr>
          <w:rFonts w:hint="default" w:ascii="Times New Roman" w:hAnsi="Times New Roman" w:eastAsia="宋体" w:cs="Times New Roman"/>
          <w:sz w:val="24"/>
          <w:szCs w:val="24"/>
          <w:lang w:val="en-US" w:eastAsia="zh-CN"/>
        </w:rPr>
        <w:t>参考文献</w:t>
      </w:r>
    </w:p>
    <w:p w14:paraId="345686D6">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[1]</w:t>
      </w:r>
      <w:r>
        <w:rPr>
          <w:rFonts w:hint="default" w:ascii="Times New Roman" w:hAnsi="Times New Roman" w:eastAsia="宋体" w:cs="Times New Roman"/>
          <w:kern w:val="2"/>
          <w:sz w:val="24"/>
          <w:szCs w:val="24"/>
          <w:lang w:val="en-US" w:eastAsia="zh-CN" w:bidi="ar-SA"/>
        </w:rPr>
        <w:t>庞晋山.不锈钢食具容器有害元素迁移量的影响因素[J].检验检疫科</w:t>
      </w:r>
      <w:r>
        <w:rPr>
          <w:rFonts w:hint="eastAsia" w:ascii="Times New Roman" w:hAnsi="Times New Roman"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学,2007(Z1):75-77.</w:t>
      </w:r>
    </w:p>
    <w:p w14:paraId="1DE8108D">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刘禹,李党国.电感耦合等离子体法测定纸质吸管材料中重金属的迁移量[J].中华纸业,2022,43(06):37-39.</w:t>
      </w:r>
    </w:p>
    <w:p w14:paraId="25ADEF0B">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pPr>
      <w:r>
        <w:rPr>
          <w:rFonts w:hint="eastAsia" w:ascii="Times New Roman" w:hAnsi="Times New Roman" w:cs="Times New Roman"/>
          <w:kern w:val="2"/>
          <w:sz w:val="24"/>
          <w:szCs w:val="24"/>
          <w:lang w:val="en-US" w:eastAsia="zh-CN" w:bidi="ar-SA"/>
        </w:rPr>
        <w:t>[3]</w:t>
      </w:r>
      <w:r>
        <w:rPr>
          <w:rFonts w:hint="default" w:ascii="Times New Roman" w:hAnsi="Times New Roman" w:eastAsia="宋体" w:cs="Times New Roman"/>
          <w:kern w:val="2"/>
          <w:sz w:val="24"/>
          <w:szCs w:val="24"/>
          <w:lang w:val="en-US" w:eastAsia="zh-CN" w:bidi="ar-SA"/>
        </w:rPr>
        <w:t>钟文健,李冕锐,吴婉君,区振源,蔡潼玲.食品接触用不锈钢制品在不同浓度含氯模拟物中重金属迁移行为研究[J].广东化工,2019,46(13):34-35.</w:t>
      </w:r>
    </w:p>
    <w:p w14:paraId="68821E55">
      <w:pPr>
        <w:jc w:val="left"/>
      </w:pPr>
      <w:bookmarkStart w:id="0" w:name="_Hlk50121694"/>
      <w:r>
        <w:rPr>
          <w:rFonts w:hint="default" w:ascii="Times New Roman" w:hAnsi="Times New Roman" w:cs="Times New Roman"/>
          <w:b w:val="0"/>
          <w:bCs/>
          <w:color w:val="auto"/>
          <w:sz w:val="24"/>
          <w:szCs w:val="24"/>
        </w:rPr>
        <w:t>[</w:t>
      </w:r>
      <w:r>
        <w:rPr>
          <w:rFonts w:hint="eastAsia" w:ascii="Times New Roman" w:hAnsi="Times New Roman" w:cs="Times New Roman"/>
          <w:b w:val="0"/>
          <w:bCs/>
          <w:color w:val="auto"/>
          <w:sz w:val="24"/>
          <w:szCs w:val="24"/>
          <w:lang w:val="en-US" w:eastAsia="zh-CN"/>
        </w:rPr>
        <w:t>4</w:t>
      </w:r>
      <w:r>
        <w:rPr>
          <w:rFonts w:hint="default" w:ascii="Times New Roman" w:hAnsi="Times New Roman" w:cs="Times New Roman"/>
          <w:b w:val="0"/>
          <w:bCs/>
          <w:color w:val="auto"/>
          <w:sz w:val="24"/>
          <w:szCs w:val="24"/>
        </w:rPr>
        <w:t>] ISO 5151-2010 Non-ducted air-conditioners and heat pumps-Testing and rating for performance[S], 2010: 5-12.</w:t>
      </w:r>
      <w:commentRangeEnd w:id="19"/>
      <w:r>
        <w:commentReference w:id="19"/>
      </w:r>
      <w:bookmarkEnd w:id="0"/>
    </w:p>
    <w:p w14:paraId="3BDFD1D6">
      <w:pPr>
        <w:pStyle w:val="5"/>
        <w:ind w:right="2524"/>
        <w:rPr>
          <w:rFonts w:hint="default" w:ascii="Times New Roman" w:hAnsi="Times New Roman" w:eastAsia="宋体" w:cs="Times New Roman"/>
          <w:b/>
          <w:bCs/>
        </w:rPr>
      </w:pPr>
    </w:p>
    <w:p w14:paraId="53D32D35">
      <w:pPr>
        <w:pStyle w:val="5"/>
        <w:ind w:right="2524"/>
        <w:rPr>
          <w:rFonts w:hint="default" w:ascii="Times New Roman" w:hAnsi="Times New Roman" w:eastAsia="宋体" w:cs="Times New Roman"/>
          <w:b/>
          <w:bCs/>
        </w:rPr>
      </w:pPr>
    </w:p>
    <w:p w14:paraId="1CA36D91">
      <w:pPr>
        <w:pStyle w:val="5"/>
        <w:ind w:right="2524"/>
        <w:rPr>
          <w:rFonts w:hint="eastAsia" w:ascii="Times New Roman" w:hAnsi="Times New Roman" w:eastAsia="宋体" w:cs="Times New Roman"/>
          <w:b/>
          <w:bCs/>
          <w:sz w:val="24"/>
          <w:szCs w:val="24"/>
          <w:lang w:eastAsia="zh-CN"/>
        </w:rPr>
      </w:pPr>
      <w:r>
        <w:rPr>
          <w:rFonts w:hint="eastAsia" w:ascii="Times New Roman" w:hAnsi="Times New Roman" w:cs="Times New Roman"/>
          <w:b/>
          <w:bCs/>
          <w:sz w:val="24"/>
          <w:szCs w:val="24"/>
          <w:lang w:eastAsia="zh-CN"/>
        </w:rPr>
        <w:t>作者简介：</w:t>
      </w:r>
    </w:p>
    <w:p w14:paraId="116C1CDF">
      <w:pPr>
        <w:pStyle w:val="5"/>
        <w:ind w:right="2524"/>
        <w:rPr>
          <w:rFonts w:hint="default" w:ascii="Times New Roman" w:hAnsi="Times New Roman" w:eastAsia="宋体" w:cs="Times New Roman"/>
          <w:b/>
          <w:bCs/>
        </w:rPr>
      </w:pPr>
    </w:p>
    <w:p w14:paraId="6C1766FC">
      <w:pPr>
        <w:pStyle w:val="5"/>
        <w:ind w:right="2524"/>
        <w:rPr>
          <w:rFonts w:hint="default" w:ascii="Times New Roman" w:hAnsi="Times New Roman" w:eastAsia="宋体" w:cs="Times New Roman"/>
          <w:b/>
          <w:bCs/>
        </w:rPr>
      </w:pPr>
    </w:p>
    <w:p w14:paraId="4FFFCEDF">
      <w:pPr>
        <w:pStyle w:val="5"/>
        <w:ind w:right="2524"/>
        <w:rPr>
          <w:rFonts w:hint="default" w:ascii="Times New Roman" w:hAnsi="Times New Roman" w:eastAsia="宋体" w:cs="Times New Roman"/>
          <w:sz w:val="24"/>
          <w:szCs w:val="24"/>
        </w:rPr>
      </w:pPr>
      <w:commentRangeStart w:id="20"/>
      <w:r>
        <w:rPr>
          <w:rFonts w:hint="default" w:ascii="Times New Roman" w:hAnsi="Times New Roman" w:eastAsia="宋体" w:cs="Times New Roman"/>
          <w:b/>
          <w:bCs/>
          <w:sz w:val="24"/>
          <w:szCs w:val="24"/>
        </w:rPr>
        <w:t>基金项目</w:t>
      </w:r>
      <w:r>
        <w:rPr>
          <w:rFonts w:hint="default" w:ascii="Times New Roman" w:hAnsi="Times New Roman" w:eastAsia="宋体" w:cs="Times New Roman"/>
          <w:sz w:val="24"/>
          <w:szCs w:val="24"/>
        </w:rPr>
        <w:t xml:space="preserve">  国家自然科学基金(******)；xx省xx基金(******)；xxx项目</w:t>
      </w:r>
    </w:p>
    <w:p w14:paraId="526B20BC">
      <w:pPr>
        <w:pStyle w:val="5"/>
        <w:rPr>
          <w:rFonts w:hint="default" w:ascii="Times New Roman" w:hAnsi="Times New Roman" w:eastAsia="宋体" w:cs="Times New Roman"/>
          <w:sz w:val="24"/>
          <w:szCs w:val="24"/>
          <w:highlight w:val="yellow"/>
        </w:rPr>
      </w:pPr>
      <w:r>
        <w:rPr>
          <w:rFonts w:hint="default" w:ascii="Times New Roman" w:hAnsi="Times New Roman" w:eastAsia="宋体" w:cs="Times New Roman"/>
          <w:b/>
          <w:bCs/>
          <w:sz w:val="24"/>
          <w:szCs w:val="24"/>
          <w:lang w:eastAsia="zh-CN"/>
        </w:rPr>
        <w:t>第一作者：</w:t>
      </w:r>
      <w:r>
        <w:rPr>
          <w:rFonts w:hint="default" w:ascii="Times New Roman" w:hAnsi="Times New Roman" w:eastAsia="宋体" w:cs="Times New Roman"/>
          <w:sz w:val="24"/>
          <w:szCs w:val="24"/>
        </w:rPr>
        <w:t>姓  名(19**</w:t>
      </w:r>
      <w:r>
        <w:rPr>
          <w:rFonts w:hint="default" w:ascii="Times New Roman" w:hAnsi="Times New Roman" w:eastAsia="宋体" w:cs="Times New Roman"/>
          <w:sz w:val="24"/>
          <w:szCs w:val="24"/>
          <w:highlight w:val="yellow"/>
        </w:rPr>
        <w:t>—</w:t>
      </w:r>
      <w:r>
        <w:rPr>
          <w:rFonts w:hint="default" w:ascii="Times New Roman" w:hAnsi="Times New Roman" w:eastAsia="宋体" w:cs="Times New Roman"/>
          <w:sz w:val="24"/>
          <w:szCs w:val="24"/>
        </w:rPr>
        <w:t>)，性别，民族，籍贯，学历，职称</w:t>
      </w:r>
      <w:r>
        <w:rPr>
          <w:rFonts w:hint="default" w:ascii="Times New Roman" w:hAnsi="Times New Roman" w:eastAsia="宋体" w:cs="Times New Roman"/>
          <w:sz w:val="24"/>
          <w:szCs w:val="24"/>
          <w:highlight w:val="yellow"/>
        </w:rPr>
        <w:t>。</w:t>
      </w:r>
      <w:r>
        <w:rPr>
          <w:rFonts w:hint="default" w:ascii="Times New Roman" w:hAnsi="Times New Roman" w:eastAsia="宋体" w:cs="Times New Roman"/>
          <w:sz w:val="24"/>
          <w:szCs w:val="24"/>
        </w:rPr>
        <w:t>研究方向：……</w:t>
      </w:r>
      <w:r>
        <w:rPr>
          <w:rFonts w:hint="default" w:ascii="Times New Roman" w:hAnsi="Times New Roman" w:eastAsia="宋体" w:cs="Times New Roman"/>
          <w:sz w:val="24"/>
          <w:szCs w:val="24"/>
          <w:highlight w:val="yellow"/>
        </w:rPr>
        <w:t>。</w:t>
      </w:r>
    </w:p>
    <w:p w14:paraId="358A1E7A">
      <w:pPr>
        <w:pStyle w:val="5"/>
        <w:rPr>
          <w:rFonts w:hint="default" w:ascii="Times New Roman" w:hAnsi="Times New Roman" w:eastAsia="宋体" w:cs="Times New Roman"/>
          <w:sz w:val="24"/>
          <w:szCs w:val="24"/>
        </w:rPr>
      </w:pPr>
      <w:r>
        <w:rPr>
          <w:rFonts w:hint="eastAsia" w:ascii="Times New Roman" w:hAnsi="Times New Roman" w:cs="Times New Roman"/>
          <w:b/>
          <w:bCs/>
          <w:sz w:val="24"/>
          <w:szCs w:val="24"/>
          <w:lang w:eastAsia="zh-CN"/>
        </w:rPr>
        <w:t>第二</w:t>
      </w:r>
      <w:r>
        <w:rPr>
          <w:rFonts w:hint="default" w:ascii="Times New Roman" w:hAnsi="Times New Roman" w:eastAsia="宋体" w:cs="Times New Roman"/>
          <w:b/>
          <w:bCs/>
          <w:sz w:val="24"/>
          <w:szCs w:val="24"/>
        </w:rPr>
        <w:t>作者</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姓  名(19**</w:t>
      </w:r>
      <w:r>
        <w:rPr>
          <w:rFonts w:hint="default" w:ascii="Times New Roman" w:hAnsi="Times New Roman" w:eastAsia="宋体" w:cs="Times New Roman"/>
          <w:sz w:val="24"/>
          <w:szCs w:val="24"/>
          <w:highlight w:val="yellow"/>
        </w:rPr>
        <w:t>—</w:t>
      </w:r>
      <w:r>
        <w:rPr>
          <w:rFonts w:hint="default" w:ascii="Times New Roman" w:hAnsi="Times New Roman" w:eastAsia="宋体" w:cs="Times New Roman"/>
          <w:sz w:val="24"/>
          <w:szCs w:val="24"/>
        </w:rPr>
        <w:t>)，性别，民族，籍贯，学历，职称</w:t>
      </w:r>
      <w:r>
        <w:rPr>
          <w:rFonts w:hint="default" w:ascii="Times New Roman" w:hAnsi="Times New Roman" w:eastAsia="宋体" w:cs="Times New Roman"/>
          <w:sz w:val="24"/>
          <w:szCs w:val="24"/>
          <w:highlight w:val="yellow"/>
        </w:rPr>
        <w:t>。</w:t>
      </w:r>
      <w:r>
        <w:rPr>
          <w:rFonts w:hint="default" w:ascii="Times New Roman" w:hAnsi="Times New Roman" w:eastAsia="宋体" w:cs="Times New Roman"/>
          <w:sz w:val="24"/>
          <w:szCs w:val="24"/>
        </w:rPr>
        <w:t>研究方向：……</w:t>
      </w:r>
      <w:r>
        <w:rPr>
          <w:rFonts w:hint="default" w:ascii="Times New Roman" w:hAnsi="Times New Roman" w:eastAsia="宋体" w:cs="Times New Roman"/>
          <w:sz w:val="24"/>
          <w:szCs w:val="24"/>
          <w:highlight w:val="yellow"/>
        </w:rPr>
        <w:t>。</w:t>
      </w:r>
      <w:commentRangeEnd w:id="20"/>
      <w:r>
        <w:rPr>
          <w:rFonts w:hint="default" w:ascii="Times New Roman" w:hAnsi="Times New Roman" w:eastAsia="宋体" w:cs="Times New Roman"/>
          <w:sz w:val="24"/>
          <w:szCs w:val="24"/>
        </w:rPr>
        <w:commentReference w:id="20"/>
      </w:r>
    </w:p>
    <w:p w14:paraId="609DE9C1">
      <w:pPr>
        <w:jc w:val="left"/>
        <w:rPr>
          <w:rFonts w:hint="default"/>
          <w:lang w:val="en-US" w:eastAsia="zh-CN"/>
        </w:rPr>
      </w:pPr>
      <w:r>
        <w:rPr>
          <w:rFonts w:hint="default" w:ascii="Times New Roman" w:hAnsi="Times New Roman" w:eastAsia="宋体" w:cs="Times New Roman"/>
          <w:sz w:val="24"/>
          <w:szCs w:val="24"/>
        </w:rPr>
        <w:t>……</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TL" w:date="2023-03-23T14:55:29Z" w:initials="">
    <w:p w14:paraId="0F396128">
      <w:pPr>
        <w:pStyle w:val="2"/>
        <w:rPr>
          <w:rFonts w:hint="eastAsia" w:eastAsia="宋体"/>
          <w:b w:val="0"/>
          <w:bCs w:val="0"/>
          <w:color w:val="auto"/>
          <w:sz w:val="24"/>
          <w:szCs w:val="24"/>
          <w:lang w:eastAsia="zh-CN"/>
        </w:rPr>
      </w:pPr>
      <w:r>
        <w:rPr>
          <w:b w:val="0"/>
          <w:bCs w:val="0"/>
          <w:color w:val="auto"/>
          <w:sz w:val="24"/>
          <w:szCs w:val="24"/>
        </w:rPr>
        <w:t>论文标题需要精炼</w:t>
      </w:r>
      <w:r>
        <w:rPr>
          <w:rFonts w:hint="eastAsia"/>
          <w:b w:val="0"/>
          <w:bCs w:val="0"/>
          <w:color w:val="auto"/>
          <w:sz w:val="24"/>
          <w:szCs w:val="24"/>
          <w:lang w:eastAsia="zh-CN"/>
        </w:rPr>
        <w:t>，</w:t>
      </w:r>
      <w:r>
        <w:rPr>
          <w:b w:val="0"/>
          <w:bCs w:val="0"/>
          <w:color w:val="auto"/>
          <w:sz w:val="24"/>
          <w:szCs w:val="24"/>
        </w:rPr>
        <w:t>符合主题，</w:t>
      </w:r>
      <w:r>
        <w:rPr>
          <w:rFonts w:hint="eastAsia"/>
          <w:b w:val="0"/>
          <w:bCs w:val="0"/>
          <w:color w:val="auto"/>
          <w:sz w:val="24"/>
          <w:szCs w:val="24"/>
          <w:lang w:eastAsia="zh-CN"/>
        </w:rPr>
        <w:t>字数</w:t>
      </w:r>
      <w:r>
        <w:rPr>
          <w:b w:val="0"/>
          <w:bCs w:val="0"/>
          <w:color w:val="auto"/>
          <w:sz w:val="24"/>
          <w:szCs w:val="24"/>
        </w:rPr>
        <w:t>不超过25字</w:t>
      </w:r>
      <w:r>
        <w:rPr>
          <w:rFonts w:hint="eastAsia"/>
          <w:b w:val="0"/>
          <w:bCs w:val="0"/>
          <w:color w:val="auto"/>
          <w:sz w:val="24"/>
          <w:szCs w:val="24"/>
          <w:lang w:eastAsia="zh-CN"/>
        </w:rPr>
        <w:t>。</w:t>
      </w:r>
    </w:p>
    <w:p w14:paraId="6A70674C">
      <w:pPr>
        <w:pStyle w:val="2"/>
        <w:rPr>
          <w:rFonts w:hint="eastAsia"/>
          <w:b w:val="0"/>
          <w:bCs w:val="0"/>
          <w:color w:val="auto"/>
          <w:sz w:val="24"/>
          <w:szCs w:val="24"/>
          <w:lang w:eastAsia="zh-CN"/>
        </w:rPr>
      </w:pPr>
      <w:r>
        <w:rPr>
          <w:b w:val="0"/>
          <w:bCs w:val="0"/>
          <w:color w:val="auto"/>
          <w:sz w:val="24"/>
          <w:szCs w:val="24"/>
        </w:rPr>
        <w:t>中文标题使用</w:t>
      </w:r>
      <w:r>
        <w:rPr>
          <w:rFonts w:hint="eastAsia"/>
          <w:b w:val="0"/>
          <w:bCs w:val="0"/>
          <w:color w:val="auto"/>
          <w:sz w:val="24"/>
          <w:szCs w:val="24"/>
          <w:lang w:eastAsia="zh-CN"/>
        </w:rPr>
        <w:t>四</w:t>
      </w:r>
      <w:r>
        <w:rPr>
          <w:b w:val="0"/>
          <w:bCs w:val="0"/>
          <w:color w:val="auto"/>
          <w:sz w:val="24"/>
          <w:szCs w:val="24"/>
        </w:rPr>
        <w:t>号字，</w:t>
      </w:r>
      <w:r>
        <w:rPr>
          <w:rFonts w:hint="eastAsia"/>
          <w:b w:val="0"/>
          <w:bCs w:val="0"/>
          <w:color w:val="auto"/>
          <w:sz w:val="24"/>
          <w:szCs w:val="24"/>
          <w:lang w:eastAsia="zh-CN"/>
        </w:rPr>
        <w:t>字体使用宋体。</w:t>
      </w:r>
    </w:p>
    <w:p w14:paraId="1C266861">
      <w:pPr>
        <w:pStyle w:val="2"/>
        <w:rPr>
          <w:rFonts w:hint="eastAsia" w:eastAsia="宋体"/>
          <w:b w:val="0"/>
          <w:bCs w:val="0"/>
          <w:color w:val="auto"/>
          <w:sz w:val="24"/>
          <w:szCs w:val="28"/>
          <w:lang w:eastAsia="zh-CN"/>
        </w:rPr>
      </w:pPr>
      <w:r>
        <w:rPr>
          <w:b w:val="0"/>
          <w:bCs w:val="0"/>
          <w:color w:val="auto"/>
          <w:sz w:val="24"/>
          <w:szCs w:val="24"/>
        </w:rPr>
        <w:t>正文全部使用</w:t>
      </w:r>
      <w:r>
        <w:rPr>
          <w:rFonts w:hint="eastAsia"/>
          <w:b w:val="0"/>
          <w:bCs w:val="0"/>
          <w:color w:val="auto"/>
          <w:sz w:val="24"/>
          <w:szCs w:val="24"/>
          <w:lang w:eastAsia="zh-CN"/>
        </w:rPr>
        <w:t>小四</w:t>
      </w:r>
      <w:r>
        <w:rPr>
          <w:b w:val="0"/>
          <w:bCs w:val="0"/>
          <w:color w:val="auto"/>
          <w:sz w:val="24"/>
          <w:szCs w:val="24"/>
        </w:rPr>
        <w:t>号字，</w:t>
      </w:r>
      <w:r>
        <w:rPr>
          <w:rFonts w:hint="eastAsia"/>
          <w:b w:val="0"/>
          <w:bCs w:val="0"/>
          <w:color w:val="auto"/>
          <w:sz w:val="24"/>
          <w:szCs w:val="24"/>
          <w:lang w:val="en-US" w:eastAsia="zh-CN"/>
        </w:rPr>
        <w:t>1.5</w:t>
      </w:r>
      <w:r>
        <w:rPr>
          <w:b w:val="0"/>
          <w:bCs w:val="0"/>
          <w:color w:val="auto"/>
          <w:sz w:val="24"/>
          <w:szCs w:val="24"/>
        </w:rPr>
        <w:t>倍行距。</w:t>
      </w:r>
    </w:p>
  </w:comment>
  <w:comment w:id="1" w:author="LTL" w:date="2023-03-23T14:57:18Z" w:initials="">
    <w:p w14:paraId="17326CFE">
      <w:pPr>
        <w:pStyle w:val="2"/>
        <w:rPr>
          <w:b w:val="0"/>
          <w:bCs w:val="0"/>
          <w:color w:val="auto"/>
          <w:sz w:val="24"/>
          <w:szCs w:val="24"/>
        </w:rPr>
      </w:pPr>
      <w:r>
        <w:rPr>
          <w:rFonts w:hint="eastAsia"/>
          <w:b w:val="0"/>
          <w:bCs w:val="0"/>
          <w:color w:val="auto"/>
          <w:sz w:val="24"/>
          <w:szCs w:val="24"/>
          <w:lang w:eastAsia="zh-CN"/>
        </w:rPr>
        <w:t>英</w:t>
      </w:r>
      <w:r>
        <w:rPr>
          <w:b w:val="0"/>
          <w:bCs w:val="0"/>
          <w:color w:val="auto"/>
          <w:sz w:val="24"/>
          <w:szCs w:val="24"/>
        </w:rPr>
        <w:t>文标题使用</w:t>
      </w:r>
      <w:r>
        <w:rPr>
          <w:rFonts w:hint="eastAsia"/>
          <w:b w:val="0"/>
          <w:bCs w:val="0"/>
          <w:color w:val="auto"/>
          <w:sz w:val="24"/>
          <w:szCs w:val="24"/>
          <w:lang w:eastAsia="zh-CN"/>
        </w:rPr>
        <w:t>四</w:t>
      </w:r>
      <w:r>
        <w:rPr>
          <w:b w:val="0"/>
          <w:bCs w:val="0"/>
          <w:color w:val="auto"/>
          <w:sz w:val="24"/>
          <w:szCs w:val="24"/>
        </w:rPr>
        <w:t>号字</w:t>
      </w:r>
      <w:r>
        <w:rPr>
          <w:rFonts w:hint="eastAsia"/>
          <w:b w:val="0"/>
          <w:bCs w:val="0"/>
          <w:color w:val="auto"/>
          <w:sz w:val="24"/>
          <w:szCs w:val="24"/>
          <w:lang w:val="en-US" w:eastAsia="zh-CN"/>
        </w:rPr>
        <w:t xml:space="preserve"> </w:t>
      </w:r>
      <w:r>
        <w:rPr>
          <w:b w:val="0"/>
          <w:bCs w:val="0"/>
          <w:color w:val="auto"/>
          <w:sz w:val="24"/>
          <w:szCs w:val="24"/>
        </w:rPr>
        <w:t>字体使用Times New Roman</w:t>
      </w:r>
    </w:p>
    <w:p w14:paraId="1FF75ECF">
      <w:pPr>
        <w:spacing w:line="288" w:lineRule="atLeast"/>
        <w:rPr>
          <w:b w:val="0"/>
          <w:bCs w:val="0"/>
          <w:color w:val="auto"/>
          <w:sz w:val="24"/>
          <w:szCs w:val="24"/>
        </w:rPr>
      </w:pPr>
      <w:r>
        <w:rPr>
          <w:b w:val="0"/>
          <w:bCs w:val="0"/>
          <w:color w:val="auto"/>
          <w:szCs w:val="21"/>
        </w:rPr>
        <w:t>英文标题，与中文标题对应，</w:t>
      </w:r>
      <w:r>
        <w:rPr>
          <w:rFonts w:hint="eastAsia"/>
          <w:b w:val="0"/>
          <w:bCs w:val="0"/>
          <w:color w:val="auto"/>
          <w:szCs w:val="21"/>
          <w:lang w:eastAsia="zh-CN"/>
        </w:rPr>
        <w:t>首</w:t>
      </w:r>
      <w:r>
        <w:rPr>
          <w:b w:val="0"/>
          <w:bCs w:val="0"/>
          <w:color w:val="auto"/>
          <w:szCs w:val="21"/>
        </w:rPr>
        <w:t>字母大写，其余字母小写。</w:t>
      </w:r>
    </w:p>
  </w:comment>
  <w:comment w:id="2" w:author="LTL" w:date="2023-03-23T15:06:32Z" w:initials="">
    <w:p w14:paraId="4F5B1472">
      <w:pPr>
        <w:spacing w:line="288" w:lineRule="atLeast"/>
      </w:pPr>
      <w:r>
        <w:rPr>
          <w:b w:val="0"/>
          <w:bCs w:val="0"/>
          <w:color w:val="auto"/>
          <w:szCs w:val="21"/>
        </w:rPr>
        <w:t>作者姓名，一般不超过4位，每位作者之间空两小格。右上角标注明所属单位，如同时属于两个单位，中间以逗号隔开。</w:t>
      </w:r>
    </w:p>
  </w:comment>
  <w:comment w:id="3" w:author="LTL" w:date="2023-03-23T15:08:09Z" w:initials="">
    <w:p w14:paraId="628A5504">
      <w:pPr>
        <w:spacing w:line="288" w:lineRule="atLeast"/>
        <w:rPr>
          <w:rFonts w:hint="eastAsia"/>
          <w:b w:val="0"/>
          <w:bCs/>
          <w:color w:val="auto"/>
          <w:szCs w:val="21"/>
          <w:lang w:eastAsia="zh-CN"/>
        </w:rPr>
      </w:pPr>
      <w:r>
        <w:rPr>
          <w:b w:val="0"/>
          <w:bCs/>
          <w:color w:val="auto"/>
          <w:szCs w:val="21"/>
        </w:rPr>
        <w:t>作者姓名</w:t>
      </w:r>
      <w:r>
        <w:rPr>
          <w:rFonts w:hint="eastAsia"/>
          <w:b w:val="0"/>
          <w:bCs/>
          <w:color w:val="auto"/>
          <w:szCs w:val="21"/>
          <w:lang w:eastAsia="zh-CN"/>
        </w:rPr>
        <w:t>英文，姓氏大写，名字首字母大写，其余小写。</w:t>
      </w:r>
    </w:p>
    <w:p w14:paraId="65CB5963">
      <w:pPr>
        <w:spacing w:line="288" w:lineRule="atLeast"/>
        <w:rPr>
          <w:rFonts w:hint="default"/>
          <w:lang w:val="en-US"/>
        </w:rPr>
      </w:pPr>
      <w:r>
        <w:rPr>
          <w:rFonts w:hint="eastAsia"/>
          <w:b w:val="0"/>
          <w:bCs/>
          <w:color w:val="auto"/>
          <w:szCs w:val="21"/>
          <w:lang w:eastAsia="zh-CN"/>
        </w:rPr>
        <w:t>如张三</w:t>
      </w:r>
      <w:r>
        <w:rPr>
          <w:rFonts w:hint="eastAsia"/>
          <w:b w:val="0"/>
          <w:bCs/>
          <w:color w:val="auto"/>
          <w:szCs w:val="21"/>
          <w:lang w:val="en-US" w:eastAsia="zh-CN"/>
        </w:rPr>
        <w:t xml:space="preserve"> ZHANG San  杨某某 </w:t>
      </w:r>
      <w:r>
        <w:rPr>
          <w:b w:val="0"/>
          <w:bCs/>
          <w:color w:val="auto"/>
          <w:szCs w:val="21"/>
          <w:vertAlign w:val="superscript"/>
        </w:rPr>
        <w:t xml:space="preserve"> </w:t>
      </w:r>
      <w:r>
        <w:rPr>
          <w:b w:val="0"/>
          <w:bCs/>
          <w:color w:val="auto"/>
          <w:szCs w:val="21"/>
        </w:rPr>
        <w:t xml:space="preserve">YANG </w:t>
      </w:r>
      <w:r>
        <w:rPr>
          <w:b w:val="0"/>
          <w:bCs/>
          <w:caps/>
          <w:color w:val="auto"/>
          <w:szCs w:val="21"/>
        </w:rPr>
        <w:t>m</w:t>
      </w:r>
      <w:r>
        <w:rPr>
          <w:b w:val="0"/>
          <w:bCs/>
          <w:color w:val="auto"/>
          <w:szCs w:val="21"/>
        </w:rPr>
        <w:t>oumou</w:t>
      </w:r>
    </w:p>
  </w:comment>
  <w:comment w:id="4" w:author="LTL" w:date="2023-03-23T15:10:04Z" w:initials="">
    <w:p w14:paraId="7AEA402C">
      <w:pPr>
        <w:spacing w:line="288" w:lineRule="atLeast"/>
        <w:ind w:left="2" w:right="-21"/>
        <w:rPr>
          <w:rFonts w:hint="eastAsia" w:eastAsia="宋体"/>
          <w:lang w:eastAsia="zh-CN"/>
        </w:rPr>
      </w:pPr>
      <w:r>
        <w:rPr>
          <w:b w:val="0"/>
          <w:bCs/>
          <w:color w:val="auto"/>
          <w:szCs w:val="21"/>
        </w:rPr>
        <w:t>作者单位信息</w:t>
      </w:r>
      <w:r>
        <w:rPr>
          <w:rFonts w:hint="eastAsia"/>
          <w:b w:val="0"/>
          <w:bCs/>
          <w:color w:val="auto"/>
          <w:szCs w:val="21"/>
          <w:lang w:eastAsia="zh-CN"/>
        </w:rPr>
        <w:t>与相关</w:t>
      </w:r>
      <w:r>
        <w:rPr>
          <w:b w:val="0"/>
          <w:bCs/>
          <w:color w:val="auto"/>
          <w:szCs w:val="21"/>
        </w:rPr>
        <w:t>英文</w:t>
      </w:r>
      <w:r>
        <w:rPr>
          <w:rFonts w:hint="eastAsia"/>
          <w:b w:val="0"/>
          <w:bCs/>
          <w:color w:val="auto"/>
          <w:szCs w:val="21"/>
          <w:lang w:eastAsia="zh-CN"/>
        </w:rPr>
        <w:t>对应</w:t>
      </w:r>
      <w:r>
        <w:rPr>
          <w:b w:val="0"/>
          <w:bCs/>
          <w:color w:val="auto"/>
          <w:szCs w:val="21"/>
        </w:rPr>
        <w:t>，包括单位名称，省、市和邮编</w:t>
      </w:r>
      <w:r>
        <w:rPr>
          <w:rFonts w:hint="eastAsia"/>
          <w:b w:val="0"/>
          <w:bCs/>
          <w:color w:val="auto"/>
          <w:szCs w:val="21"/>
          <w:lang w:eastAsia="zh-CN"/>
        </w:rPr>
        <w:t>，其中英文部分只写到市即可</w:t>
      </w:r>
    </w:p>
  </w:comment>
  <w:comment w:id="5" w:author="LTL" w:date="2023-03-23T15:11:32Z" w:initials="">
    <w:p w14:paraId="40045300">
      <w:pPr>
        <w:spacing w:line="288" w:lineRule="atLeast"/>
        <w:ind w:left="2" w:right="-21"/>
        <w:rPr>
          <w:rFonts w:hint="eastAsia" w:eastAsia="宋体"/>
          <w:lang w:eastAsia="zh-CN"/>
        </w:rPr>
      </w:pPr>
      <w:r>
        <w:rPr>
          <w:b w:val="0"/>
          <w:bCs/>
          <w:color w:val="auto"/>
          <w:szCs w:val="21"/>
        </w:rPr>
        <w:t>中文摘要</w:t>
      </w:r>
      <w:r>
        <w:rPr>
          <w:rFonts w:hint="eastAsia"/>
          <w:b w:val="0"/>
          <w:bCs/>
          <w:color w:val="auto"/>
          <w:szCs w:val="21"/>
          <w:lang w:eastAsia="zh-CN"/>
        </w:rPr>
        <w:t>主要内容</w:t>
      </w:r>
      <w:r>
        <w:rPr>
          <w:b w:val="0"/>
          <w:bCs/>
          <w:color w:val="auto"/>
          <w:szCs w:val="21"/>
        </w:rPr>
        <w:t>应包括论文研究目的、方法、结果和结论</w:t>
      </w:r>
      <w:r>
        <w:rPr>
          <w:rFonts w:hint="eastAsia"/>
          <w:b w:val="0"/>
          <w:bCs/>
          <w:color w:val="auto"/>
          <w:szCs w:val="21"/>
          <w:lang w:eastAsia="zh-CN"/>
        </w:rPr>
        <w:t>。</w:t>
      </w:r>
      <w:r>
        <w:rPr>
          <w:b w:val="0"/>
          <w:bCs/>
          <w:color w:val="auto"/>
          <w:szCs w:val="21"/>
        </w:rPr>
        <w:t>一般不出现公式</w:t>
      </w:r>
      <w:bookmarkStart w:id="1" w:name="_GoBack"/>
      <w:bookmarkEnd w:id="1"/>
      <w:r>
        <w:rPr>
          <w:b w:val="0"/>
          <w:bCs/>
          <w:color w:val="auto"/>
          <w:szCs w:val="21"/>
        </w:rPr>
        <w:t>，不用第一人称，不出现参考文献序号。一般不超过300字。</w:t>
      </w:r>
      <w:r>
        <w:rPr>
          <w:rFonts w:hint="eastAsia"/>
          <w:b w:val="0"/>
          <w:bCs/>
          <w:color w:val="auto"/>
          <w:szCs w:val="21"/>
          <w:lang w:eastAsia="zh-CN"/>
        </w:rPr>
        <w:t>英文与中文对应。</w:t>
      </w:r>
    </w:p>
  </w:comment>
  <w:comment w:id="6" w:author="LTL" w:date="2023-03-23T15:12:13Z" w:initials="">
    <w:p w14:paraId="41C22E93">
      <w:pPr>
        <w:pStyle w:val="2"/>
        <w:rPr>
          <w:rFonts w:hint="default" w:eastAsia="宋体"/>
          <w:lang w:val="en-US" w:eastAsia="zh-CN"/>
        </w:rPr>
      </w:pPr>
      <w:r>
        <w:rPr>
          <w:rFonts w:hint="eastAsia"/>
          <w:lang w:eastAsia="zh-CN"/>
        </w:rPr>
        <w:t>关键词是对文章关键信息的提炼，一般</w:t>
      </w:r>
      <w:r>
        <w:rPr>
          <w:rFonts w:hint="eastAsia"/>
          <w:lang w:val="en-US" w:eastAsia="zh-CN"/>
        </w:rPr>
        <w:t>3-8个，每个关键词之间用分号隔开。英文与中文对应。</w:t>
      </w:r>
    </w:p>
  </w:comment>
  <w:comment w:id="7" w:author="LTL" w:date="2023-03-23T15:13:12Z" w:initials="">
    <w:p w14:paraId="7C3C2C91">
      <w:pPr>
        <w:spacing w:line="288" w:lineRule="atLeast"/>
        <w:ind w:left="2" w:right="-21"/>
        <w:jc w:val="left"/>
        <w:rPr>
          <w:rFonts w:hint="eastAsia" w:ascii="Times New Roman" w:hAnsi="Times New Roman" w:cs="Times New Roman"/>
          <w:b w:val="0"/>
          <w:bCs w:val="0"/>
          <w:sz w:val="24"/>
          <w:szCs w:val="24"/>
          <w:lang w:val="en-US" w:eastAsia="zh-CN"/>
        </w:rPr>
      </w:pPr>
      <w:r>
        <w:rPr>
          <w:b w:val="0"/>
          <w:bCs/>
          <w:color w:val="auto"/>
          <w:szCs w:val="21"/>
        </w:rPr>
        <w:t>可列出一个或一个以上中图分类号，按《中国图书馆分类法》确定</w:t>
      </w:r>
      <w:r>
        <w:rPr>
          <w:rFonts w:hint="eastAsia"/>
          <w:b w:val="0"/>
          <w:bCs/>
          <w:color w:val="auto"/>
          <w:szCs w:val="21"/>
          <w:lang w:eastAsia="zh-CN"/>
        </w:rPr>
        <w:t>，参考链接：</w:t>
      </w:r>
      <w:r>
        <w:rPr>
          <w:rFonts w:hint="eastAsia"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val="en-US" w:eastAsia="zh-CN"/>
        </w:rPr>
        <w:fldChar w:fldCharType="begin"/>
      </w:r>
      <w:r>
        <w:rPr>
          <w:rFonts w:hint="eastAsia" w:ascii="Times New Roman" w:hAnsi="Times New Roman" w:cs="Times New Roman"/>
          <w:b w:val="0"/>
          <w:bCs w:val="0"/>
          <w:sz w:val="24"/>
          <w:szCs w:val="24"/>
          <w:lang w:val="en-US" w:eastAsia="zh-CN"/>
        </w:rPr>
        <w:instrText xml:space="preserve"> HYPERLINK "http://www.ztflh.com/" </w:instrText>
      </w:r>
      <w:r>
        <w:rPr>
          <w:rFonts w:hint="eastAsia" w:ascii="Times New Roman" w:hAnsi="Times New Roman" w:cs="Times New Roman"/>
          <w:b w:val="0"/>
          <w:bCs w:val="0"/>
          <w:sz w:val="24"/>
          <w:szCs w:val="24"/>
          <w:lang w:val="en-US" w:eastAsia="zh-CN"/>
        </w:rPr>
        <w:fldChar w:fldCharType="separate"/>
      </w:r>
      <w:r>
        <w:rPr>
          <w:rStyle w:val="8"/>
          <w:rFonts w:hint="eastAsia" w:ascii="Times New Roman" w:hAnsi="Times New Roman" w:cs="Times New Roman"/>
          <w:b w:val="0"/>
          <w:bCs w:val="0"/>
          <w:sz w:val="24"/>
          <w:szCs w:val="24"/>
          <w:lang w:val="en-US" w:eastAsia="zh-CN"/>
        </w:rPr>
        <w:t>http://www.ztflh.com/</w:t>
      </w:r>
      <w:r>
        <w:rPr>
          <w:rFonts w:hint="eastAsia" w:ascii="Times New Roman" w:hAnsi="Times New Roman" w:cs="Times New Roman"/>
          <w:b w:val="0"/>
          <w:bCs w:val="0"/>
          <w:sz w:val="24"/>
          <w:szCs w:val="24"/>
          <w:lang w:val="en-US" w:eastAsia="zh-CN"/>
        </w:rPr>
        <w:fldChar w:fldCharType="end"/>
      </w:r>
    </w:p>
    <w:p w14:paraId="48182567">
      <w:pPr>
        <w:spacing w:line="288" w:lineRule="atLeast"/>
        <w:ind w:left="2" w:right="-21"/>
        <w:jc w:val="left"/>
        <w:rPr>
          <w:rFonts w:hint="default"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文献标志码一般为A：理论与应用研究学术论文（包括综述报告）B：实用性技术成果（科技）、理论学习与社会实践总结（社科）</w:t>
      </w:r>
    </w:p>
  </w:comment>
  <w:comment w:id="8" w:author="LTL" w:date="2023-03-23T15:37:59Z" w:initials="">
    <w:p w14:paraId="3DB0115E">
      <w:pPr>
        <w:adjustRightInd w:val="0"/>
        <w:snapToGrid w:val="0"/>
        <w:ind w:firstLine="420" w:firstLineChars="200"/>
        <w:rPr>
          <w:szCs w:val="21"/>
        </w:rPr>
      </w:pPr>
      <w:r>
        <w:rPr>
          <w:b w:val="0"/>
          <w:bCs/>
          <w:color w:val="auto"/>
          <w:szCs w:val="21"/>
        </w:rPr>
        <w:t>一律用“引言”，不用“前言”、“序言”等。</w:t>
      </w:r>
      <w:r>
        <w:rPr>
          <w:rFonts w:hint="eastAsia"/>
          <w:szCs w:val="21"/>
        </w:rPr>
        <w:t>引言部分不加标题、不编章节号，不涉及图表和公式。</w:t>
      </w:r>
    </w:p>
    <w:p w14:paraId="26370BBE">
      <w:pPr>
        <w:pStyle w:val="2"/>
      </w:pPr>
      <w:r>
        <w:rPr>
          <w:b w:val="0"/>
          <w:bCs/>
          <w:color w:val="auto"/>
          <w:szCs w:val="21"/>
        </w:rPr>
        <w:t>引言应引述在这一领域的最新进展与问题，从而引出</w:t>
      </w:r>
      <w:r>
        <w:rPr>
          <w:rFonts w:hint="eastAsia"/>
          <w:b w:val="0"/>
          <w:bCs/>
          <w:color w:val="auto"/>
          <w:szCs w:val="21"/>
          <w:lang w:eastAsia="zh-CN"/>
        </w:rPr>
        <w:t>本项研究的价值</w:t>
      </w:r>
      <w:r>
        <w:rPr>
          <w:b w:val="0"/>
          <w:bCs/>
          <w:color w:val="auto"/>
          <w:szCs w:val="21"/>
        </w:rPr>
        <w:t>。建议包括以下内容：（1）本研究领域背景的综述；（2）其他学者已有研究成果的详细描述；（3）陈述为什么需要进行更多的或进一步的研究；（4）阐述作者本项研究的目的；（5）简述本文开展的研究工作；（6）本项研究结果的意义。</w:t>
      </w:r>
    </w:p>
  </w:comment>
  <w:comment w:id="9" w:author="LTL" w:date="2023-03-23T15:39:20Z" w:initials="">
    <w:p w14:paraId="133A0FCC">
      <w:pPr>
        <w:spacing w:line="288" w:lineRule="atLeast"/>
      </w:pPr>
      <w:r>
        <w:rPr>
          <w:b w:val="0"/>
          <w:bCs/>
          <w:color w:val="auto"/>
          <w:szCs w:val="21"/>
        </w:rPr>
        <w:t>正文中的一级标题用阿拉伯数字表示，二三级标题往下依次为1.1，1.1.1，（1）。正文中尽量不用“我们”字样，不得出现广告、宣传性文字。</w:t>
      </w:r>
    </w:p>
  </w:comment>
  <w:comment w:id="10" w:author="LTL" w:date="2023-03-24T09:50:53Z" w:initials="">
    <w:p w14:paraId="36ED46DA">
      <w:pPr>
        <w:pStyle w:val="2"/>
      </w:pPr>
      <w:r>
        <w:rPr>
          <w:rFonts w:hint="eastAsia"/>
          <w:szCs w:val="18"/>
          <w:lang w:eastAsia="zh-CN"/>
        </w:rPr>
        <w:t>单位格式需要按照</w:t>
      </w:r>
      <w:r>
        <w:rPr>
          <w:rFonts w:hint="eastAsia"/>
          <w:szCs w:val="18"/>
        </w:rPr>
        <w:t>复合单位改为乘负一次方形式用括号括起，如“m/s”应为“(m</w:t>
      </w:r>
      <w:r>
        <w:rPr>
          <w:szCs w:val="18"/>
        </w:rPr>
        <w:t>·</w:t>
      </w:r>
      <w:r>
        <w:rPr>
          <w:rFonts w:hint="eastAsia"/>
          <w:szCs w:val="18"/>
        </w:rPr>
        <w:t>s</w:t>
      </w:r>
      <w:r>
        <w:rPr>
          <w:rFonts w:hint="eastAsia"/>
          <w:szCs w:val="18"/>
          <w:vertAlign w:val="superscript"/>
        </w:rPr>
        <w:t>-1</w:t>
      </w:r>
      <w:r>
        <w:rPr>
          <w:rFonts w:hint="eastAsia"/>
          <w:szCs w:val="18"/>
        </w:rPr>
        <w:t>)</w:t>
      </w:r>
    </w:p>
    <w:p w14:paraId="2C2637CA">
      <w:pPr>
        <w:pStyle w:val="2"/>
      </w:pPr>
    </w:p>
  </w:comment>
  <w:comment w:id="11" w:author="LTL" w:date="2023-03-23T15:47:21Z" w:initials="">
    <w:p w14:paraId="12F76BAC">
      <w:pPr>
        <w:pStyle w:val="2"/>
        <w:rPr>
          <w:rFonts w:hint="eastAsia" w:eastAsia="宋体"/>
          <w:lang w:eastAsia="zh-CN"/>
        </w:rPr>
      </w:pPr>
      <w:r>
        <w:rPr>
          <w:rFonts w:hint="eastAsia"/>
          <w:lang w:eastAsia="zh-CN"/>
        </w:rPr>
        <w:t>一级标题、二级标题</w:t>
      </w:r>
      <w:r>
        <w:rPr>
          <w:rFonts w:hint="default" w:ascii="Arial" w:hAnsi="Arial" w:cs="Arial"/>
          <w:lang w:eastAsia="zh-CN"/>
        </w:rPr>
        <w:t>…</w:t>
      </w:r>
      <w:r>
        <w:rPr>
          <w:rFonts w:hint="eastAsia"/>
          <w:lang w:eastAsia="zh-CN"/>
        </w:rPr>
        <w:t>都需要顶格排版，无需缩进字符</w:t>
      </w:r>
    </w:p>
  </w:comment>
  <w:comment w:id="12" w:author="LTL" w:date="2023-03-24T09:52:09Z" w:initials="">
    <w:p w14:paraId="4F42786B">
      <w:pPr>
        <w:adjustRightInd w:val="0"/>
        <w:snapToGrid w:val="0"/>
        <w:ind w:firstLine="420" w:firstLineChars="200"/>
        <w:rPr>
          <w:rFonts w:hint="eastAsia"/>
          <w:szCs w:val="18"/>
        </w:rPr>
      </w:pPr>
      <w:r>
        <w:rPr>
          <w:rFonts w:hint="eastAsia"/>
          <w:szCs w:val="18"/>
        </w:rPr>
        <w:t>对表进行说明时应写成“如表1所示”的形式。</w:t>
      </w:r>
    </w:p>
    <w:p w14:paraId="60BA2998">
      <w:pPr>
        <w:adjustRightInd w:val="0"/>
        <w:snapToGrid w:val="0"/>
        <w:ind w:firstLine="420" w:firstLineChars="200"/>
        <w:rPr>
          <w:rFonts w:hint="eastAsia"/>
          <w:szCs w:val="18"/>
        </w:rPr>
      </w:pPr>
      <w:r>
        <w:rPr>
          <w:rFonts w:hint="eastAsia"/>
          <w:szCs w:val="18"/>
        </w:rPr>
        <w:t>表中文字用中文。</w:t>
      </w:r>
    </w:p>
    <w:p w14:paraId="483400D4">
      <w:pPr>
        <w:adjustRightInd w:val="0"/>
        <w:snapToGrid w:val="0"/>
        <w:ind w:firstLine="420" w:firstLineChars="200"/>
        <w:rPr>
          <w:rFonts w:hint="eastAsia" w:eastAsia="宋体"/>
          <w:szCs w:val="18"/>
          <w:lang w:eastAsia="zh-CN"/>
        </w:rPr>
      </w:pPr>
      <w:r>
        <w:rPr>
          <w:rFonts w:hint="eastAsia"/>
          <w:szCs w:val="18"/>
          <w:lang w:eastAsia="zh-CN"/>
        </w:rPr>
        <w:t>表题五号字，加粗，居中排列</w:t>
      </w:r>
    </w:p>
    <w:p w14:paraId="4C345278">
      <w:pPr>
        <w:adjustRightInd w:val="0"/>
        <w:snapToGrid w:val="0"/>
        <w:ind w:firstLine="420" w:firstLineChars="200"/>
      </w:pPr>
      <w:r>
        <w:rPr>
          <w:rFonts w:hint="eastAsia"/>
          <w:szCs w:val="21"/>
        </w:rPr>
        <w:t>表中数值需明确给出量名称及单位，二者用“/”隔开；</w:t>
      </w:r>
      <w:r>
        <w:rPr>
          <w:rFonts w:hint="eastAsia"/>
          <w:szCs w:val="18"/>
        </w:rPr>
        <w:t>复合单位改为乘负一次方形式用括号括起，如表1所示。</w:t>
      </w:r>
    </w:p>
  </w:comment>
  <w:comment w:id="13" w:author="LTL" w:date="2023-03-23T15:46:10Z" w:initials="">
    <w:p w14:paraId="3F102859">
      <w:pPr>
        <w:spacing w:line="288" w:lineRule="atLeast"/>
        <w:rPr>
          <w:b w:val="0"/>
          <w:bCs/>
          <w:color w:val="auto"/>
          <w:szCs w:val="21"/>
        </w:rPr>
      </w:pPr>
      <w:r>
        <w:rPr>
          <w:b w:val="0"/>
          <w:bCs/>
          <w:color w:val="auto"/>
          <w:szCs w:val="21"/>
        </w:rPr>
        <w:t>表的上方须注出表序和表题，表题、表注等全部采用中文</w:t>
      </w:r>
      <w:r>
        <w:rPr>
          <w:rFonts w:hint="eastAsia"/>
          <w:b w:val="0"/>
          <w:bCs/>
          <w:color w:val="auto"/>
          <w:szCs w:val="21"/>
          <w:lang w:eastAsia="zh-CN"/>
        </w:rPr>
        <w:t>，其中表注单加一行</w:t>
      </w:r>
      <w:r>
        <w:rPr>
          <w:b w:val="0"/>
          <w:bCs/>
          <w:color w:val="auto"/>
          <w:szCs w:val="21"/>
        </w:rPr>
        <w:t>。</w:t>
      </w:r>
    </w:p>
    <w:p w14:paraId="3B3123E3">
      <w:pPr>
        <w:spacing w:line="288" w:lineRule="atLeast"/>
      </w:pPr>
      <w:r>
        <w:rPr>
          <w:b w:val="0"/>
          <w:bCs/>
          <w:color w:val="auto"/>
          <w:szCs w:val="21"/>
        </w:rPr>
        <w:t>表格应简洁明了，不体现无关内容。表格需要在word中录入，不得以图片形式插入。</w:t>
      </w:r>
    </w:p>
  </w:comment>
  <w:comment w:id="14" w:author="LTL" w:date="2023-03-24T10:06:25Z" w:initials="">
    <w:p w14:paraId="2E2A21E3">
      <w:pPr>
        <w:adjustRightInd w:val="0"/>
        <w:snapToGrid w:val="0"/>
        <w:ind w:firstLine="420" w:firstLineChars="200"/>
        <w:rPr>
          <w:szCs w:val="18"/>
        </w:rPr>
      </w:pPr>
      <w:r>
        <w:rPr>
          <w:rFonts w:hint="eastAsia"/>
          <w:color w:val="C00000"/>
          <w:szCs w:val="18"/>
        </w:rPr>
        <w:t>变量符号和公式</w:t>
      </w:r>
      <w:r>
        <w:rPr>
          <w:color w:val="C00000"/>
          <w:szCs w:val="18"/>
        </w:rPr>
        <w:t>使用MathType</w:t>
      </w:r>
      <w:r>
        <w:rPr>
          <w:rFonts w:hint="eastAsia"/>
          <w:color w:val="C00000"/>
          <w:szCs w:val="18"/>
        </w:rPr>
        <w:t>等公示编辑器录入，</w:t>
      </w:r>
      <w:r>
        <w:rPr>
          <w:rFonts w:hint="eastAsia"/>
          <w:szCs w:val="18"/>
        </w:rPr>
        <w:t>勿用word中自带的公式编辑器或使用图片格式插入。</w:t>
      </w:r>
    </w:p>
    <w:p w14:paraId="11C235AF">
      <w:pPr>
        <w:pStyle w:val="13"/>
        <w:adjustRightInd w:val="0"/>
        <w:snapToGrid w:val="0"/>
        <w:ind w:firstLine="420" w:firstLineChars="200"/>
        <w:jc w:val="left"/>
        <w:rPr>
          <w:rFonts w:ascii="Times New Roman" w:hAnsi="Times New Roman"/>
          <w:color w:val="C00000"/>
          <w:sz w:val="21"/>
          <w:szCs w:val="21"/>
        </w:rPr>
      </w:pPr>
      <w:r>
        <w:rPr>
          <w:rFonts w:ascii="Times New Roman" w:hAnsi="Times New Roman"/>
          <w:color w:val="C00000"/>
          <w:sz w:val="21"/>
          <w:szCs w:val="21"/>
        </w:rPr>
        <w:t>文中</w:t>
      </w:r>
      <w:r>
        <w:rPr>
          <w:rFonts w:ascii="Times New Roman" w:hAnsi="Times New Roman"/>
          <w:color w:val="C00000"/>
          <w:sz w:val="21"/>
          <w:szCs w:val="21"/>
        </w:rPr>
        <w:fldChar w:fldCharType="begin"/>
      </w:r>
      <w:r>
        <w:rPr>
          <w:rFonts w:ascii="Times New Roman" w:hAnsi="Times New Roman"/>
          <w:color w:val="C00000"/>
          <w:sz w:val="21"/>
          <w:szCs w:val="21"/>
        </w:rPr>
        <w:instrText xml:space="preserve">  </w:instrText>
      </w:r>
      <w:r>
        <w:rPr>
          <w:rFonts w:ascii="Times New Roman" w:hAnsi="Times New Roman"/>
          <w:color w:val="C00000"/>
          <w:sz w:val="21"/>
          <w:szCs w:val="21"/>
        </w:rPr>
        <w:fldChar w:fldCharType="end"/>
      </w:r>
      <w:r>
        <w:rPr>
          <w:rFonts w:ascii="Times New Roman" w:hAnsi="Times New Roman"/>
          <w:color w:val="C00000"/>
          <w:sz w:val="21"/>
          <w:szCs w:val="21"/>
        </w:rPr>
        <w:t>首次出现的变量应随即给出定义。</w:t>
      </w:r>
    </w:p>
    <w:p w14:paraId="6A297E95">
      <w:pPr>
        <w:pStyle w:val="13"/>
        <w:adjustRightInd w:val="0"/>
        <w:snapToGrid w:val="0"/>
        <w:ind w:firstLine="420" w:firstLineChars="200"/>
        <w:jc w:val="left"/>
      </w:pPr>
      <w:r>
        <w:rPr>
          <w:rFonts w:ascii="Times New Roman" w:hAnsi="Times New Roman"/>
          <w:color w:val="C00000"/>
          <w:sz w:val="21"/>
          <w:szCs w:val="21"/>
        </w:rPr>
        <w:t>变量用</w:t>
      </w:r>
      <w:r>
        <w:rPr>
          <w:rFonts w:ascii="Times New Roman" w:hAnsi="Times New Roman"/>
          <w:i/>
          <w:iCs/>
          <w:color w:val="C00000"/>
          <w:sz w:val="21"/>
          <w:szCs w:val="21"/>
        </w:rPr>
        <w:t>斜体</w:t>
      </w:r>
      <w:r>
        <w:rPr>
          <w:rFonts w:ascii="Times New Roman" w:hAnsi="Times New Roman"/>
          <w:sz w:val="21"/>
          <w:szCs w:val="21"/>
        </w:rPr>
        <w:t>表示，π(圆周率)、e(自然常数)、虚数i和sin等用正体表示，</w:t>
      </w:r>
    </w:p>
    <w:p w14:paraId="1AEB31B4">
      <w:pPr>
        <w:pStyle w:val="2"/>
      </w:pPr>
    </w:p>
  </w:comment>
  <w:comment w:id="15" w:author="LTL" w:date="2023-03-24T10:12:28Z" w:initials="">
    <w:p w14:paraId="705D43AF">
      <w:pPr>
        <w:pStyle w:val="2"/>
        <w:rPr>
          <w:rFonts w:hint="default"/>
          <w:lang w:val="en-US"/>
        </w:rPr>
      </w:pPr>
      <w:r>
        <w:rPr>
          <w:rFonts w:hint="eastAsia"/>
          <w:szCs w:val="18"/>
        </w:rPr>
        <w:t>一张图中有多个分图的，</w:t>
      </w:r>
      <w:r>
        <w:rPr>
          <w:rFonts w:hint="eastAsia"/>
          <w:color w:val="C00000"/>
          <w:szCs w:val="18"/>
        </w:rPr>
        <w:t>中文分图题列于对应图下，不要写在总图题中</w:t>
      </w:r>
      <w:r>
        <w:rPr>
          <w:rFonts w:hint="eastAsia"/>
          <w:szCs w:val="18"/>
        </w:rPr>
        <w:t>；每个分图均需有分图题</w:t>
      </w:r>
      <w:r>
        <w:rPr>
          <w:rFonts w:hint="eastAsia"/>
          <w:szCs w:val="18"/>
          <w:lang w:eastAsia="zh-CN"/>
        </w:rPr>
        <w:t>，分</w:t>
      </w:r>
      <w:r>
        <w:rPr>
          <w:rFonts w:hint="eastAsia"/>
          <w:lang w:eastAsia="zh-CN"/>
        </w:rPr>
        <w:t>图题置于对应分图下，各分图题不可相同，如图</w:t>
      </w:r>
      <w:r>
        <w:rPr>
          <w:rFonts w:hint="eastAsia"/>
          <w:lang w:val="en-US" w:eastAsia="zh-CN"/>
        </w:rPr>
        <w:t>1所示。</w:t>
      </w:r>
    </w:p>
  </w:comment>
  <w:comment w:id="16" w:author="LTL" w:date="2023-03-23T15:54:38Z" w:initials="">
    <w:p w14:paraId="699C38D3">
      <w:pPr>
        <w:rPr>
          <w:b w:val="0"/>
          <w:bCs/>
          <w:color w:val="auto"/>
          <w:szCs w:val="21"/>
        </w:rPr>
      </w:pPr>
      <w:r>
        <w:rPr>
          <w:rFonts w:hint="eastAsia"/>
          <w:b w:val="0"/>
          <w:bCs/>
          <w:color w:val="auto"/>
          <w:szCs w:val="21"/>
        </w:rPr>
        <w:t>折线图、条形图、柱状图等，请保持全文图片在风格、颜色上的统一</w:t>
      </w:r>
      <w:r>
        <w:rPr>
          <w:rFonts w:hint="eastAsia"/>
          <w:b w:val="0"/>
          <w:bCs/>
          <w:color w:val="auto"/>
          <w:szCs w:val="21"/>
          <w:lang w:eastAsia="zh-CN"/>
        </w:rPr>
        <w:t>，</w:t>
      </w:r>
      <w:r>
        <w:rPr>
          <w:rFonts w:hint="eastAsia"/>
          <w:szCs w:val="21"/>
        </w:rPr>
        <w:t>有多条曲线的需给出图例。</w:t>
      </w:r>
    </w:p>
    <w:p w14:paraId="6F5317B2">
      <w:pPr>
        <w:rPr>
          <w:rFonts w:hint="eastAsia"/>
          <w:b w:val="0"/>
          <w:bCs/>
          <w:color w:val="auto"/>
          <w:szCs w:val="21"/>
        </w:rPr>
      </w:pPr>
      <w:r>
        <w:rPr>
          <w:rFonts w:hint="eastAsia"/>
          <w:b w:val="0"/>
          <w:bCs/>
          <w:color w:val="auto"/>
          <w:szCs w:val="21"/>
        </w:rPr>
        <w:t>有坐标轴的图，请注意坐标轴名称、单位等内容完整。坐标轴请均使用四条框线封闭，线条请使用0.25磅的黑色细线。</w:t>
      </w:r>
    </w:p>
    <w:p w14:paraId="45E21938">
      <w:pPr>
        <w:rPr>
          <w:b w:val="0"/>
          <w:bCs/>
          <w:color w:val="auto"/>
          <w:szCs w:val="21"/>
        </w:rPr>
      </w:pPr>
      <w:r>
        <w:rPr>
          <w:b w:val="0"/>
          <w:bCs/>
          <w:color w:val="auto"/>
          <w:szCs w:val="21"/>
        </w:rPr>
        <w:t>坐标图物理量尽量用符号表示，物理量与单位间用斜线。标度数字尽量圆整，过大或过小时可用指数表示，如10</w:t>
      </w:r>
      <w:r>
        <w:rPr>
          <w:b w:val="0"/>
          <w:bCs/>
          <w:color w:val="auto"/>
          <w:szCs w:val="21"/>
          <w:vertAlign w:val="superscript"/>
        </w:rPr>
        <w:t>2</w:t>
      </w:r>
      <w:r>
        <w:rPr>
          <w:b w:val="0"/>
          <w:bCs/>
          <w:color w:val="auto"/>
          <w:szCs w:val="21"/>
        </w:rPr>
        <w:t>、10</w:t>
      </w:r>
      <w:r>
        <w:rPr>
          <w:b w:val="0"/>
          <w:bCs/>
          <w:color w:val="auto"/>
          <w:szCs w:val="21"/>
          <w:vertAlign w:val="superscript"/>
        </w:rPr>
        <w:t>-2</w:t>
      </w:r>
      <w:r>
        <w:rPr>
          <w:rFonts w:hint="eastAsia"/>
          <w:b w:val="0"/>
          <w:bCs/>
          <w:color w:val="auto"/>
          <w:szCs w:val="21"/>
        </w:rPr>
        <w:t>。</w:t>
      </w:r>
    </w:p>
    <w:p w14:paraId="3DA64AC5">
      <w:r>
        <w:rPr>
          <w:rFonts w:hint="eastAsia"/>
          <w:b w:val="0"/>
          <w:bCs/>
          <w:color w:val="auto"/>
          <w:szCs w:val="21"/>
        </w:rPr>
        <w:t>建议直接在word中插入图表或Smart Art进行制图，使图片在word中可编辑，便于美编后期排版时能根据版面调整文字大小。若不便在word中绘制，也请按格式要求统一所有图片的格式、样式、文字字体和大小。</w:t>
      </w:r>
    </w:p>
  </w:comment>
  <w:comment w:id="17" w:author="LTL" w:date="2023-03-30T09:58:42Z" w:initials="">
    <w:p w14:paraId="7A5F39DB">
      <w:pPr>
        <w:rPr>
          <w:rFonts w:hint="eastAsia"/>
          <w:b w:val="0"/>
          <w:bCs/>
          <w:color w:val="auto"/>
          <w:szCs w:val="21"/>
          <w:lang w:eastAsia="zh-CN"/>
        </w:rPr>
      </w:pPr>
      <w:r>
        <w:rPr>
          <w:b w:val="0"/>
          <w:bCs/>
          <w:color w:val="auto"/>
          <w:szCs w:val="21"/>
        </w:rPr>
        <w:t>图的下方须注出图序和图题，图题请使用中文，</w:t>
      </w:r>
      <w:r>
        <w:rPr>
          <w:rFonts w:hint="eastAsia"/>
          <w:b w:val="0"/>
          <w:bCs/>
          <w:color w:val="auto"/>
          <w:szCs w:val="21"/>
          <w:lang w:eastAsia="zh-CN"/>
        </w:rPr>
        <w:t>五号字，加粗，居中排列。</w:t>
      </w:r>
    </w:p>
    <w:p w14:paraId="33173E57">
      <w:pPr>
        <w:rPr>
          <w:b w:val="0"/>
          <w:bCs/>
          <w:color w:val="auto"/>
          <w:szCs w:val="21"/>
        </w:rPr>
      </w:pPr>
      <w:r>
        <w:rPr>
          <w:b w:val="0"/>
          <w:bCs/>
          <w:color w:val="auto"/>
          <w:szCs w:val="21"/>
        </w:rPr>
        <w:t>如果图片中有英文注释，请统一译成中文，如有必须出现的英文和英文缩写，请注明含义。</w:t>
      </w:r>
    </w:p>
    <w:p w14:paraId="15F85F4D">
      <w:pPr>
        <w:rPr>
          <w:b w:val="0"/>
          <w:bCs/>
          <w:color w:val="auto"/>
          <w:szCs w:val="21"/>
        </w:rPr>
      </w:pPr>
      <w:r>
        <w:rPr>
          <w:b w:val="0"/>
          <w:bCs/>
          <w:color w:val="auto"/>
          <w:szCs w:val="21"/>
        </w:rPr>
        <w:t>应尽量使用白底彩图。</w:t>
      </w:r>
    </w:p>
    <w:p w14:paraId="17E07006">
      <w:pPr>
        <w:rPr>
          <w:b w:val="0"/>
          <w:bCs/>
          <w:color w:val="auto"/>
          <w:szCs w:val="21"/>
        </w:rPr>
      </w:pPr>
      <w:r>
        <w:rPr>
          <w:b w:val="0"/>
          <w:bCs/>
          <w:color w:val="auto"/>
          <w:szCs w:val="21"/>
        </w:rPr>
        <w:t>流程图、设备图要合理、简洁，不列与正文无关的内容；照片图必须清晰，层次分明，放大倍数（或比例尺）应清晰易辨。</w:t>
      </w:r>
    </w:p>
    <w:p w14:paraId="75CD2DB1">
      <w:pPr>
        <w:rPr>
          <w:b w:val="0"/>
          <w:bCs/>
          <w:color w:val="auto"/>
          <w:szCs w:val="21"/>
        </w:rPr>
      </w:pPr>
    </w:p>
    <w:p w14:paraId="1E462BBF">
      <w:pPr>
        <w:pStyle w:val="2"/>
      </w:pPr>
      <w:r>
        <w:rPr>
          <w:rFonts w:hint="eastAsia"/>
          <w:lang w:eastAsia="zh-CN"/>
        </w:rPr>
        <w:t>图中字号不低于六号，清晰度良好。</w:t>
      </w:r>
    </w:p>
    <w:p w14:paraId="2B6E0C08">
      <w:pPr>
        <w:pStyle w:val="2"/>
      </w:pPr>
    </w:p>
  </w:comment>
  <w:comment w:id="18" w:author="LTL" w:date="2023-03-24T10:17:38Z" w:initials="">
    <w:p w14:paraId="1A6E2927">
      <w:pPr>
        <w:adjustRightInd w:val="0"/>
        <w:snapToGrid w:val="0"/>
        <w:ind w:firstLine="420" w:firstLineChars="200"/>
        <w:rPr>
          <w:szCs w:val="21"/>
        </w:rPr>
      </w:pPr>
      <w:r>
        <w:rPr>
          <w:rFonts w:hint="eastAsia"/>
          <w:szCs w:val="21"/>
        </w:rPr>
        <w:t>结论部分分条给出。……得到以下结论。</w:t>
      </w:r>
    </w:p>
    <w:p w14:paraId="134C4CB3">
      <w:pPr>
        <w:adjustRightInd w:val="0"/>
        <w:snapToGrid w:val="0"/>
        <w:ind w:firstLine="420" w:firstLineChars="200"/>
        <w:rPr>
          <w:szCs w:val="21"/>
        </w:rPr>
      </w:pPr>
      <w:r>
        <w:rPr>
          <w:rFonts w:hint="eastAsia"/>
          <w:szCs w:val="21"/>
        </w:rPr>
        <w:t>(</w:t>
      </w:r>
      <w:r>
        <w:rPr>
          <w:szCs w:val="21"/>
        </w:rPr>
        <w:t>1</w:t>
      </w:r>
      <w:r>
        <w:rPr>
          <w:rFonts w:hint="eastAsia"/>
          <w:szCs w:val="21"/>
        </w:rPr>
        <w:t>)结论一</w:t>
      </w:r>
      <w:r>
        <w:rPr>
          <w:szCs w:val="21"/>
        </w:rPr>
        <w:t>。</w:t>
      </w:r>
    </w:p>
    <w:p w14:paraId="6C71183A">
      <w:pPr>
        <w:adjustRightInd w:val="0"/>
        <w:snapToGrid w:val="0"/>
        <w:ind w:firstLine="420" w:firstLineChars="200"/>
        <w:rPr>
          <w:szCs w:val="21"/>
        </w:rPr>
      </w:pPr>
      <w:r>
        <w:rPr>
          <w:rFonts w:hint="eastAsia"/>
          <w:szCs w:val="21"/>
        </w:rPr>
        <w:t>(</w:t>
      </w:r>
      <w:r>
        <w:rPr>
          <w:szCs w:val="21"/>
        </w:rPr>
        <w:t>2</w:t>
      </w:r>
      <w:r>
        <w:rPr>
          <w:rFonts w:hint="eastAsia"/>
          <w:szCs w:val="21"/>
        </w:rPr>
        <w:t>)结论二</w:t>
      </w:r>
      <w:r>
        <w:rPr>
          <w:szCs w:val="21"/>
        </w:rPr>
        <w:t>。</w:t>
      </w:r>
    </w:p>
    <w:p w14:paraId="2F6D3F32">
      <w:pPr>
        <w:ind w:firstLine="420" w:firstLineChars="200"/>
        <w:rPr>
          <w:rFonts w:hint="eastAsia" w:eastAsia="宋体"/>
          <w:lang w:eastAsia="zh-CN"/>
        </w:rPr>
      </w:pPr>
      <w:r>
        <w:rPr>
          <w:rFonts w:hint="eastAsia"/>
          <w:lang w:eastAsia="zh-CN"/>
        </w:rPr>
        <w:t>具体内容方面</w:t>
      </w:r>
      <w:r>
        <w:rPr>
          <w:b w:val="0"/>
          <w:bCs/>
          <w:color w:val="auto"/>
          <w:szCs w:val="21"/>
        </w:rPr>
        <w:t>建议可包括以下内容：（1）解释结果；（2）将结果与之前提出的研究目的或假设相联系，阐明结果的重要性；（3）将结果与其他已有研究工作进行比较；（4）尽可能得出一个很清晰的结论。对每一个结论需要总结证据。同时也可以指出本工作的不足和将要开展工作的展望。请注意不能简单重复摘要和引言。</w:t>
      </w:r>
    </w:p>
  </w:comment>
  <w:comment w:id="19" w:author="LTL" w:date="2023-03-24T10:25:43Z" w:initials="">
    <w:p w14:paraId="50B26132">
      <w:pPr>
        <w:rPr>
          <w:rFonts w:hint="default" w:eastAsia="宋体"/>
          <w:b w:val="0"/>
          <w:bCs/>
          <w:color w:val="auto"/>
          <w:szCs w:val="21"/>
          <w:lang w:val="en-US" w:eastAsia="zh-CN"/>
        </w:rPr>
      </w:pPr>
      <w:r>
        <w:rPr>
          <w:b w:val="0"/>
          <w:bCs/>
          <w:color w:val="auto"/>
          <w:szCs w:val="21"/>
        </w:rPr>
        <w:t>参考文献</w:t>
      </w:r>
      <w:r>
        <w:rPr>
          <w:rFonts w:hint="eastAsia"/>
          <w:b w:val="0"/>
          <w:bCs/>
          <w:color w:val="auto"/>
          <w:szCs w:val="21"/>
          <w:lang w:eastAsia="zh-CN"/>
        </w:rPr>
        <w:t>的数量不少于</w:t>
      </w:r>
      <w:r>
        <w:rPr>
          <w:rFonts w:hint="eastAsia"/>
          <w:b w:val="0"/>
          <w:bCs/>
          <w:color w:val="auto"/>
          <w:szCs w:val="21"/>
          <w:lang w:val="en-US" w:eastAsia="zh-CN"/>
        </w:rPr>
        <w:t>3篇。</w:t>
      </w:r>
    </w:p>
    <w:p w14:paraId="1A640F32">
      <w:pPr>
        <w:rPr>
          <w:b w:val="0"/>
          <w:bCs/>
          <w:color w:val="auto"/>
          <w:szCs w:val="21"/>
        </w:rPr>
      </w:pPr>
      <w:r>
        <w:rPr>
          <w:b w:val="0"/>
          <w:bCs/>
          <w:color w:val="auto"/>
          <w:szCs w:val="21"/>
        </w:rPr>
        <w:t>参考文献的序号左顶格，并用数字加方括号表示，与正文中的引文标示一致，如[1]，[2]……。每一条参考文献著录均以“.”结束。</w:t>
      </w:r>
    </w:p>
    <w:p w14:paraId="0A701BAB">
      <w:pPr>
        <w:rPr>
          <w:b w:val="0"/>
          <w:bCs/>
          <w:color w:val="auto"/>
          <w:szCs w:val="21"/>
        </w:rPr>
      </w:pPr>
      <w:r>
        <w:rPr>
          <w:b w:val="0"/>
          <w:bCs/>
          <w:color w:val="auto"/>
          <w:szCs w:val="21"/>
        </w:rPr>
        <w:t>参考文献中的标点符号以英文半角符号书写，字体请用Times New Roman。</w:t>
      </w:r>
    </w:p>
    <w:p w14:paraId="268114C7">
      <w:pPr>
        <w:rPr>
          <w:rFonts w:hint="eastAsia"/>
          <w:b w:val="0"/>
          <w:bCs/>
          <w:color w:val="auto"/>
          <w:szCs w:val="21"/>
        </w:rPr>
      </w:pPr>
      <w:r>
        <w:rPr>
          <w:b w:val="0"/>
          <w:bCs/>
          <w:color w:val="auto"/>
          <w:szCs w:val="21"/>
        </w:rPr>
        <w:t>参考文献中的每条项目应齐全。</w:t>
      </w:r>
      <w:r>
        <w:rPr>
          <w:rFonts w:hint="eastAsia"/>
          <w:b w:val="0"/>
          <w:bCs/>
          <w:color w:val="auto"/>
          <w:szCs w:val="21"/>
        </w:rPr>
        <w:t>具体参考“</w:t>
      </w:r>
      <w:r>
        <w:rPr>
          <w:b w:val="0"/>
          <w:bCs/>
          <w:color w:val="auto"/>
          <w:szCs w:val="21"/>
        </w:rPr>
        <w:t>参考文献著录规则</w:t>
      </w:r>
      <w:r>
        <w:rPr>
          <w:rFonts w:hint="eastAsia"/>
          <w:b w:val="0"/>
          <w:bCs/>
          <w:color w:val="auto"/>
          <w:szCs w:val="21"/>
        </w:rPr>
        <w:t>”。</w:t>
      </w:r>
    </w:p>
    <w:p w14:paraId="1C970104">
      <w:pPr>
        <w:rPr>
          <w:b w:val="0"/>
          <w:bCs/>
          <w:color w:val="auto"/>
          <w:szCs w:val="21"/>
        </w:rPr>
      </w:pPr>
      <w:r>
        <w:rPr>
          <w:b w:val="0"/>
          <w:bCs/>
          <w:color w:val="auto"/>
          <w:szCs w:val="21"/>
        </w:rPr>
        <w:t>英文期刊名称、会议论文集名称请写全称。</w:t>
      </w:r>
    </w:p>
    <w:p w14:paraId="7D4579F6">
      <w:pPr>
        <w:widowControl/>
        <w:jc w:val="left"/>
        <w:rPr>
          <w:b w:val="0"/>
          <w:bCs/>
          <w:color w:val="auto"/>
          <w:szCs w:val="21"/>
        </w:rPr>
      </w:pPr>
      <w:r>
        <w:rPr>
          <w:b w:val="0"/>
          <w:bCs/>
          <w:color w:val="auto"/>
          <w:szCs w:val="21"/>
        </w:rPr>
        <w:t>参考文献类型：专著[M]，会议论文集[C]，汇编[G]，报纸文章[N]，期刊文章[J]，学位论文[D]，报告[R]，标准[S]，专利[P]，数据库[DB]，计算机程序[CP]，电子公告[EB]</w:t>
      </w:r>
    </w:p>
    <w:p w14:paraId="04DC5E08">
      <w:pPr>
        <w:pStyle w:val="2"/>
      </w:pPr>
    </w:p>
    <w:p w14:paraId="53185976">
      <w:pPr>
        <w:pStyle w:val="2"/>
      </w:pPr>
    </w:p>
  </w:comment>
  <w:comment w:id="20" w:author="LTL" w:date="2023-03-23T14:51:27Z" w:initials="">
    <w:p w14:paraId="2D0847CE">
      <w:pPr>
        <w:pStyle w:val="2"/>
        <w:rPr>
          <w:rFonts w:hint="eastAsia" w:eastAsia="宋体"/>
          <w:b w:val="0"/>
          <w:bCs w:val="0"/>
          <w:color w:val="auto"/>
          <w:szCs w:val="21"/>
          <w:lang w:eastAsia="zh-CN"/>
        </w:rPr>
      </w:pPr>
      <w:r>
        <w:rPr>
          <w:b w:val="0"/>
          <w:bCs w:val="0"/>
          <w:color w:val="auto"/>
          <w:szCs w:val="21"/>
        </w:rPr>
        <w:t>如果有基金项目请注明，国家自然科学基金等国家级资助项目应注明编号，如有多个请依次填写，以分号隔开。</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C266861" w15:done="0"/>
  <w15:commentEx w15:paraId="1FF75ECF" w15:done="0"/>
  <w15:commentEx w15:paraId="4F5B1472" w15:done="0"/>
  <w15:commentEx w15:paraId="65CB5963" w15:done="0"/>
  <w15:commentEx w15:paraId="7AEA402C" w15:done="0"/>
  <w15:commentEx w15:paraId="40045300" w15:done="0"/>
  <w15:commentEx w15:paraId="41C22E93" w15:done="0"/>
  <w15:commentEx w15:paraId="48182567" w15:done="0"/>
  <w15:commentEx w15:paraId="26370BBE" w15:done="0"/>
  <w15:commentEx w15:paraId="133A0FCC" w15:done="0"/>
  <w15:commentEx w15:paraId="2C2637CA" w15:done="0"/>
  <w15:commentEx w15:paraId="12F76BAC" w15:done="0"/>
  <w15:commentEx w15:paraId="4C345278" w15:done="0"/>
  <w15:commentEx w15:paraId="3B3123E3" w15:done="0"/>
  <w15:commentEx w15:paraId="1AEB31B4" w15:done="0"/>
  <w15:commentEx w15:paraId="705D43AF" w15:done="0"/>
  <w15:commentEx w15:paraId="3DA64AC5" w15:done="0"/>
  <w15:commentEx w15:paraId="2B6E0C08" w15:done="0"/>
  <w15:commentEx w15:paraId="2F6D3F32" w15:done="0"/>
  <w15:commentEx w15:paraId="53185976" w15:done="0"/>
  <w15:commentEx w15:paraId="2D0847CE"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TL">
    <w15:presenceInfo w15:providerId="WPS Office" w15:userId="40292596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iZmQyNzM0MWEzNWY3OWRjMzRlOGQyOWI1ZmYzMDgifQ=="/>
  </w:docVars>
  <w:rsids>
    <w:rsidRoot w:val="007A6324"/>
    <w:rsid w:val="000155D3"/>
    <w:rsid w:val="000B74AD"/>
    <w:rsid w:val="00272426"/>
    <w:rsid w:val="003C2A4B"/>
    <w:rsid w:val="004F19EE"/>
    <w:rsid w:val="005A4EFD"/>
    <w:rsid w:val="006377C5"/>
    <w:rsid w:val="00775BDE"/>
    <w:rsid w:val="007A6324"/>
    <w:rsid w:val="00952BA6"/>
    <w:rsid w:val="009C2B9B"/>
    <w:rsid w:val="00A75359"/>
    <w:rsid w:val="00BB1C2C"/>
    <w:rsid w:val="00BD0794"/>
    <w:rsid w:val="00C2609E"/>
    <w:rsid w:val="00D149A8"/>
    <w:rsid w:val="00D73E7A"/>
    <w:rsid w:val="00DA595C"/>
    <w:rsid w:val="00F932F5"/>
    <w:rsid w:val="00F97F65"/>
    <w:rsid w:val="00FF2EDB"/>
    <w:rsid w:val="1376180B"/>
    <w:rsid w:val="198C7FDB"/>
    <w:rsid w:val="1F953961"/>
    <w:rsid w:val="2F4309AA"/>
    <w:rsid w:val="3410040A"/>
    <w:rsid w:val="35C9312C"/>
    <w:rsid w:val="3D7C668C"/>
    <w:rsid w:val="3F591813"/>
    <w:rsid w:val="44461FB9"/>
    <w:rsid w:val="4A3A1CD1"/>
    <w:rsid w:val="589C5E1C"/>
    <w:rsid w:val="5E2D2279"/>
    <w:rsid w:val="6D4D2A68"/>
    <w:rsid w:val="7553364C"/>
    <w:rsid w:val="75C5164B"/>
    <w:rsid w:val="769C0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footnote text"/>
    <w:basedOn w:val="1"/>
    <w:semiHidden/>
    <w:qFormat/>
    <w:uiPriority w:val="0"/>
    <w:pPr>
      <w:snapToGrid w:val="0"/>
      <w:jc w:val="left"/>
    </w:pPr>
    <w:rPr>
      <w:sz w:val="18"/>
      <w:szCs w:val="18"/>
    </w:rPr>
  </w:style>
  <w:style w:type="character" w:styleId="8">
    <w:name w:val="Hyperlink"/>
    <w:semiHidden/>
    <w:unhideWhenUsed/>
    <w:qFormat/>
    <w:uiPriority w:val="99"/>
    <w:rPr>
      <w:color w:val="0000FF"/>
      <w:u w:val="single"/>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customStyle="1" w:styleId="11">
    <w:name w:val="_Style 7"/>
    <w:basedOn w:val="1"/>
    <w:next w:val="12"/>
    <w:qFormat/>
    <w:uiPriority w:val="34"/>
    <w:pPr>
      <w:ind w:firstLine="420" w:firstLineChars="200"/>
    </w:pPr>
  </w:style>
  <w:style w:type="paragraph" w:styleId="12">
    <w:name w:val="List Paragraph"/>
    <w:basedOn w:val="1"/>
    <w:qFormat/>
    <w:uiPriority w:val="34"/>
    <w:pPr>
      <w:ind w:firstLine="420" w:firstLineChars="200"/>
    </w:pPr>
  </w:style>
  <w:style w:type="paragraph" w:customStyle="1" w:styleId="13">
    <w:name w:val="公式居中"/>
    <w:basedOn w:val="1"/>
    <w:qFormat/>
    <w:uiPriority w:val="0"/>
    <w:pPr>
      <w:tabs>
        <w:tab w:val="center" w:pos="4253"/>
        <w:tab w:val="right" w:pos="8222"/>
      </w:tabs>
    </w:pPr>
    <w:rPr>
      <w:rFonts w:ascii="Calibri" w:hAnsi="Calibri"/>
      <w:sz w:val="24"/>
      <w:szCs w:val="3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emf"/><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980</Words>
  <Characters>1673</Characters>
  <Lines>20</Lines>
  <Paragraphs>5</Paragraphs>
  <TotalTime>10</TotalTime>
  <ScaleCrop>false</ScaleCrop>
  <LinksUpToDate>false</LinksUpToDate>
  <CharactersWithSpaces>1883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2021-03-02T02:10:00Z</dcterms:created>
  <dc:creator>化学</dc:creator>
  <cp:lastModifiedBy>LTL</cp:lastModifiedBy>
  <dcterms:modified xsi:type="dcterms:W3CDTF">2025-09-05T05:46:08Z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989B321AC23B489EB35E31A74BDA904B</vt:lpwstr>
  </property>
  <property fmtid="{D5CDD505-2E9C-101B-9397-08002B2CF9AE}" pid="4" name="KSOTemplateDocerSaveRecord">
    <vt:lpwstr>eyJoZGlkIjoiYzU3N2E4MTk4Yzc4ODIwNWQ4YWUxYzFjNThjNjIxNzkiLCJ1c2VySWQiOiIzNjA4MjQ0NzEifQ==</vt:lpwstr>
  </property>
</Properties>
</file>